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8017EC" w14:textId="3846A556" w:rsidR="000D5AEA" w:rsidRPr="00B177BA" w:rsidRDefault="00707317" w:rsidP="00B177BA">
      <w:pPr>
        <w:spacing w:after="0" w:line="360" w:lineRule="auto"/>
        <w:jc w:val="both"/>
        <w:rPr>
          <w:rFonts w:ascii="Palatino Linotype" w:eastAsia="Calibri" w:hAnsi="Palatino Linotype" w:cs="Arial"/>
          <w:b/>
          <w:bCs/>
          <w:sz w:val="24"/>
          <w:szCs w:val="24"/>
          <w:lang w:eastAsia="es-MX"/>
        </w:rPr>
      </w:pPr>
      <w:bookmarkStart w:id="0" w:name="_GoBack"/>
      <w:bookmarkEnd w:id="0"/>
      <w:r w:rsidRPr="00B177BA">
        <w:rPr>
          <w:rFonts w:ascii="Palatino Linotype" w:eastAsia="Calibri" w:hAnsi="Palatino Linotype" w:cs="Arial"/>
          <w:b/>
          <w:sz w:val="24"/>
          <w:szCs w:val="24"/>
        </w:rPr>
        <w:t>VOTO</w:t>
      </w:r>
      <w:r w:rsidR="000D5AEA" w:rsidRPr="00B177BA">
        <w:rPr>
          <w:rFonts w:ascii="Palatino Linotype" w:eastAsia="Calibri" w:hAnsi="Palatino Linotype" w:cs="Arial"/>
          <w:b/>
          <w:sz w:val="24"/>
          <w:szCs w:val="24"/>
        </w:rPr>
        <w:t xml:space="preserve"> PARTICULAR DEL COMISIONADO JOSÉ GUADALUPE LUNA HERNÁ</w:t>
      </w:r>
      <w:r w:rsidR="00970949">
        <w:rPr>
          <w:rFonts w:ascii="Palatino Linotype" w:eastAsia="Calibri" w:hAnsi="Palatino Linotype" w:cs="Arial"/>
          <w:b/>
          <w:sz w:val="24"/>
          <w:szCs w:val="24"/>
        </w:rPr>
        <w:t>NDEZ</w:t>
      </w:r>
      <w:r w:rsidR="00320119">
        <w:rPr>
          <w:rFonts w:ascii="Palatino Linotype" w:eastAsia="Calibri" w:hAnsi="Palatino Linotype" w:cs="Arial"/>
          <w:b/>
          <w:sz w:val="24"/>
          <w:szCs w:val="24"/>
        </w:rPr>
        <w:t xml:space="preserve"> EN EL RECURSO DE REVISIÓN 02187/INFOEM/IP/RR/2019 y acumulado</w:t>
      </w:r>
      <w:r w:rsidR="000D5AEA" w:rsidRPr="00B177BA">
        <w:rPr>
          <w:rFonts w:ascii="Palatino Linotype" w:eastAsia="Calibri" w:hAnsi="Palatino Linotype" w:cs="Arial"/>
          <w:b/>
          <w:sz w:val="24"/>
          <w:szCs w:val="24"/>
        </w:rPr>
        <w:t>.</w:t>
      </w:r>
    </w:p>
    <w:p w14:paraId="7778BAD3" w14:textId="77777777" w:rsidR="000D5AEA" w:rsidRDefault="000D5AEA" w:rsidP="00B177BA">
      <w:pPr>
        <w:spacing w:after="0" w:line="360" w:lineRule="auto"/>
        <w:jc w:val="both"/>
        <w:rPr>
          <w:rFonts w:ascii="Palatino Linotype" w:eastAsia="Calibri" w:hAnsi="Palatino Linotype" w:cs="Arial"/>
          <w:sz w:val="24"/>
          <w:szCs w:val="24"/>
        </w:rPr>
      </w:pPr>
    </w:p>
    <w:p w14:paraId="68D63E24" w14:textId="7E1AC8BC" w:rsidR="003879AF" w:rsidRDefault="00755DAF" w:rsidP="00B177BA">
      <w:pPr>
        <w:spacing w:after="0" w:line="360" w:lineRule="auto"/>
        <w:jc w:val="both"/>
        <w:rPr>
          <w:rFonts w:ascii="Palatino Linotype" w:eastAsia="Calibri" w:hAnsi="Palatino Linotype" w:cs="Arial"/>
          <w:b/>
          <w:sz w:val="24"/>
          <w:szCs w:val="24"/>
        </w:rPr>
      </w:pPr>
      <w:r w:rsidRPr="00755DAF">
        <w:rPr>
          <w:rFonts w:ascii="Palatino Linotype" w:eastAsia="Calibri" w:hAnsi="Palatino Linotype" w:cs="Arial"/>
          <w:b/>
          <w:sz w:val="24"/>
          <w:szCs w:val="24"/>
        </w:rPr>
        <w:t>Línea argumentativa</w:t>
      </w:r>
    </w:p>
    <w:p w14:paraId="6493D672" w14:textId="77777777" w:rsidR="003879AF" w:rsidRPr="00755DAF" w:rsidRDefault="003879AF" w:rsidP="00B177BA">
      <w:pPr>
        <w:spacing w:after="0" w:line="360" w:lineRule="auto"/>
        <w:jc w:val="both"/>
        <w:rPr>
          <w:rFonts w:ascii="Palatino Linotype" w:eastAsia="Calibri" w:hAnsi="Palatino Linotype" w:cs="Arial"/>
          <w:b/>
          <w:sz w:val="24"/>
          <w:szCs w:val="24"/>
        </w:rPr>
      </w:pPr>
    </w:p>
    <w:p w14:paraId="431B8A72" w14:textId="6F3E59DE" w:rsidR="006630C5" w:rsidRDefault="006630C5" w:rsidP="00B177BA">
      <w:pPr>
        <w:spacing w:after="0" w:line="360" w:lineRule="auto"/>
        <w:jc w:val="both"/>
        <w:rPr>
          <w:rFonts w:ascii="Palatino Linotype" w:eastAsia="Calibri" w:hAnsi="Palatino Linotype" w:cs="Arial"/>
          <w:sz w:val="24"/>
          <w:szCs w:val="24"/>
        </w:rPr>
      </w:pPr>
      <w:r w:rsidRPr="002C53A2">
        <w:rPr>
          <w:rFonts w:ascii="Palatino Linotype" w:eastAsia="Calibri" w:hAnsi="Palatino Linotype" w:cs="Arial"/>
          <w:sz w:val="24"/>
          <w:szCs w:val="24"/>
        </w:rPr>
        <w:t xml:space="preserve">Si bien es cierto que los actos de autoridad cuentan a su favor con la presunción de legitimidad, también lo es que cualquier restricción a los derechos humanos debe cumplir con un </w:t>
      </w:r>
      <w:r w:rsidR="009141EC" w:rsidRPr="002C53A2">
        <w:rPr>
          <w:rFonts w:ascii="Palatino Linotype" w:eastAsia="Calibri" w:hAnsi="Palatino Linotype" w:cs="Arial"/>
          <w:sz w:val="24"/>
          <w:szCs w:val="24"/>
        </w:rPr>
        <w:t>estándar</w:t>
      </w:r>
      <w:r w:rsidRPr="002C53A2">
        <w:rPr>
          <w:rFonts w:ascii="Palatino Linotype" w:eastAsia="Calibri" w:hAnsi="Palatino Linotype" w:cs="Arial"/>
          <w:sz w:val="24"/>
          <w:szCs w:val="24"/>
        </w:rPr>
        <w:t xml:space="preserve"> de l</w:t>
      </w:r>
      <w:r w:rsidR="00EA7DB1" w:rsidRPr="002C53A2">
        <w:rPr>
          <w:rFonts w:ascii="Palatino Linotype" w:eastAsia="Calibri" w:hAnsi="Palatino Linotype" w:cs="Arial"/>
          <w:sz w:val="24"/>
          <w:szCs w:val="24"/>
        </w:rPr>
        <w:t>egalidad. Por es</w:t>
      </w:r>
      <w:r w:rsidRPr="002C53A2">
        <w:rPr>
          <w:rFonts w:ascii="Palatino Linotype" w:eastAsia="Calibri" w:hAnsi="Palatino Linotype" w:cs="Arial"/>
          <w:sz w:val="24"/>
          <w:szCs w:val="24"/>
        </w:rPr>
        <w:t>a</w:t>
      </w:r>
      <w:r w:rsidR="00EA7DB1" w:rsidRPr="002C53A2">
        <w:rPr>
          <w:rFonts w:ascii="Palatino Linotype" w:eastAsia="Calibri" w:hAnsi="Palatino Linotype" w:cs="Arial"/>
          <w:sz w:val="24"/>
          <w:szCs w:val="24"/>
        </w:rPr>
        <w:t xml:space="preserve"> </w:t>
      </w:r>
      <w:r w:rsidRPr="002C53A2">
        <w:rPr>
          <w:rFonts w:ascii="Palatino Linotype" w:eastAsia="Calibri" w:hAnsi="Palatino Linotype" w:cs="Arial"/>
          <w:sz w:val="24"/>
          <w:szCs w:val="24"/>
        </w:rPr>
        <w:t>razón es que no b</w:t>
      </w:r>
      <w:r w:rsidR="00970949">
        <w:rPr>
          <w:rFonts w:ascii="Palatino Linotype" w:eastAsia="Calibri" w:hAnsi="Palatino Linotype" w:cs="Arial"/>
          <w:sz w:val="24"/>
          <w:szCs w:val="24"/>
        </w:rPr>
        <w:t xml:space="preserve">asta que los </w:t>
      </w:r>
      <w:r w:rsidRPr="002C53A2">
        <w:rPr>
          <w:rFonts w:ascii="Palatino Linotype" w:eastAsia="Calibri" w:hAnsi="Palatino Linotype" w:cs="Arial"/>
          <w:sz w:val="24"/>
          <w:szCs w:val="24"/>
        </w:rPr>
        <w:t>servidores públicos respondan p</w:t>
      </w:r>
      <w:r w:rsidR="003B1283">
        <w:rPr>
          <w:rFonts w:ascii="Palatino Linotype" w:eastAsia="Calibri" w:hAnsi="Palatino Linotype" w:cs="Arial"/>
          <w:sz w:val="24"/>
          <w:szCs w:val="24"/>
        </w:rPr>
        <w:t>or escrito diciendo que</w:t>
      </w:r>
      <w:r w:rsidR="00AF7F27">
        <w:rPr>
          <w:rFonts w:ascii="Palatino Linotype" w:eastAsia="Calibri" w:hAnsi="Palatino Linotype" w:cs="Arial"/>
          <w:sz w:val="24"/>
          <w:szCs w:val="24"/>
        </w:rPr>
        <w:t xml:space="preserve"> no se </w:t>
      </w:r>
      <w:r w:rsidR="003879AF">
        <w:rPr>
          <w:rFonts w:ascii="Palatino Linotype" w:eastAsia="Calibri" w:hAnsi="Palatino Linotype" w:cs="Arial"/>
          <w:sz w:val="24"/>
          <w:szCs w:val="24"/>
        </w:rPr>
        <w:t xml:space="preserve">cuenta con </w:t>
      </w:r>
      <w:r w:rsidR="00AF7F27">
        <w:rPr>
          <w:rFonts w:ascii="Palatino Linotype" w:eastAsia="Calibri" w:hAnsi="Palatino Linotype" w:cs="Arial"/>
          <w:sz w:val="24"/>
          <w:szCs w:val="24"/>
        </w:rPr>
        <w:t>la información solicitada</w:t>
      </w:r>
      <w:r w:rsidRPr="002C53A2">
        <w:rPr>
          <w:rFonts w:ascii="Palatino Linotype" w:eastAsia="Calibri" w:hAnsi="Palatino Linotype" w:cs="Arial"/>
          <w:sz w:val="24"/>
          <w:szCs w:val="24"/>
        </w:rPr>
        <w:t xml:space="preserve">, se requiere que aporten elementos que le den certeza al recurrente de que realmente </w:t>
      </w:r>
      <w:r w:rsidR="003879AF">
        <w:rPr>
          <w:rFonts w:ascii="Palatino Linotype" w:eastAsia="Calibri" w:hAnsi="Palatino Linotype" w:cs="Arial"/>
          <w:sz w:val="24"/>
          <w:szCs w:val="24"/>
        </w:rPr>
        <w:t xml:space="preserve">no se cuenta con la misma y con ello </w:t>
      </w:r>
      <w:r w:rsidR="00EA7DB1" w:rsidRPr="002C53A2">
        <w:rPr>
          <w:rFonts w:ascii="Palatino Linotype" w:eastAsia="Calibri" w:hAnsi="Palatino Linotype" w:cs="Arial"/>
          <w:sz w:val="24"/>
          <w:szCs w:val="24"/>
        </w:rPr>
        <w:t>recuperar la confianza d</w:t>
      </w:r>
      <w:r w:rsidRPr="002C53A2">
        <w:rPr>
          <w:rFonts w:ascii="Palatino Linotype" w:eastAsia="Calibri" w:hAnsi="Palatino Linotype" w:cs="Arial"/>
          <w:sz w:val="24"/>
          <w:szCs w:val="24"/>
        </w:rPr>
        <w:t>e</w:t>
      </w:r>
      <w:r w:rsidR="00EA7DB1" w:rsidRPr="002C53A2">
        <w:rPr>
          <w:rFonts w:ascii="Palatino Linotype" w:eastAsia="Calibri" w:hAnsi="Palatino Linotype" w:cs="Arial"/>
          <w:sz w:val="24"/>
          <w:szCs w:val="24"/>
        </w:rPr>
        <w:t xml:space="preserve"> </w:t>
      </w:r>
      <w:r w:rsidR="003879AF">
        <w:rPr>
          <w:rFonts w:ascii="Palatino Linotype" w:eastAsia="Calibri" w:hAnsi="Palatino Linotype" w:cs="Arial"/>
          <w:sz w:val="24"/>
          <w:szCs w:val="24"/>
        </w:rPr>
        <w:t>la ciudadanía.</w:t>
      </w:r>
    </w:p>
    <w:p w14:paraId="7CD7625F" w14:textId="77777777" w:rsidR="00AF7F27" w:rsidRPr="0037684A" w:rsidRDefault="00AF7F27" w:rsidP="0037684A">
      <w:pPr>
        <w:rPr>
          <w:lang w:eastAsia="es-MX"/>
        </w:rPr>
      </w:pPr>
    </w:p>
    <w:p w14:paraId="5D72E76A" w14:textId="77777777" w:rsidR="009C382C" w:rsidRDefault="009C382C" w:rsidP="00B177BA">
      <w:pPr>
        <w:pStyle w:val="TtulodeTDC"/>
        <w:spacing w:line="360" w:lineRule="auto"/>
        <w:jc w:val="both"/>
        <w:rPr>
          <w:rFonts w:ascii="Palatino Linotype" w:hAnsi="Palatino Linotype" w:cs="Arial"/>
          <w:b/>
          <w:color w:val="auto"/>
          <w:sz w:val="24"/>
          <w:szCs w:val="24"/>
        </w:rPr>
      </w:pPr>
      <w:r w:rsidRPr="00B177BA">
        <w:rPr>
          <w:rFonts w:ascii="Palatino Linotype" w:hAnsi="Palatino Linotype" w:cs="Arial"/>
          <w:b/>
          <w:color w:val="auto"/>
          <w:sz w:val="24"/>
          <w:szCs w:val="24"/>
        </w:rPr>
        <w:t>Índice</w:t>
      </w:r>
    </w:p>
    <w:p w14:paraId="076C2042" w14:textId="77777777" w:rsidR="002C53A2" w:rsidRPr="002C53A2" w:rsidRDefault="002C53A2" w:rsidP="002C53A2">
      <w:pPr>
        <w:rPr>
          <w:lang w:eastAsia="es-MX"/>
        </w:rPr>
      </w:pPr>
    </w:p>
    <w:sdt>
      <w:sdtPr>
        <w:rPr>
          <w:rFonts w:ascii="Palatino Linotype" w:hAnsi="Palatino Linotype"/>
          <w:sz w:val="24"/>
          <w:szCs w:val="24"/>
          <w:lang w:val="es-ES"/>
        </w:rPr>
        <w:id w:val="-1628690016"/>
        <w:docPartObj>
          <w:docPartGallery w:val="Table of Contents"/>
          <w:docPartUnique/>
        </w:docPartObj>
      </w:sdtPr>
      <w:sdtEndPr>
        <w:rPr>
          <w:b/>
          <w:bCs/>
        </w:rPr>
      </w:sdtEndPr>
      <w:sdtContent>
        <w:p w14:paraId="6483DC2A" w14:textId="77777777" w:rsidR="00B87109" w:rsidRDefault="009C382C">
          <w:pPr>
            <w:pStyle w:val="TDC1"/>
            <w:tabs>
              <w:tab w:val="left" w:pos="440"/>
              <w:tab w:val="right" w:leader="dot" w:pos="8828"/>
            </w:tabs>
            <w:rPr>
              <w:rFonts w:eastAsiaTheme="minorEastAsia"/>
              <w:noProof/>
              <w:lang w:eastAsia="es-MX"/>
            </w:rPr>
          </w:pPr>
          <w:r w:rsidRPr="00B177BA">
            <w:rPr>
              <w:rFonts w:ascii="Palatino Linotype" w:hAnsi="Palatino Linotype"/>
              <w:sz w:val="24"/>
              <w:szCs w:val="24"/>
            </w:rPr>
            <w:fldChar w:fldCharType="begin"/>
          </w:r>
          <w:r w:rsidRPr="00B177BA">
            <w:rPr>
              <w:rFonts w:ascii="Palatino Linotype" w:hAnsi="Palatino Linotype"/>
              <w:sz w:val="24"/>
              <w:szCs w:val="24"/>
            </w:rPr>
            <w:instrText xml:space="preserve"> TOC \o "1-3" \h \z \u </w:instrText>
          </w:r>
          <w:r w:rsidRPr="00B177BA">
            <w:rPr>
              <w:rFonts w:ascii="Palatino Linotype" w:hAnsi="Palatino Linotype"/>
              <w:sz w:val="24"/>
              <w:szCs w:val="24"/>
            </w:rPr>
            <w:fldChar w:fldCharType="separate"/>
          </w:r>
          <w:hyperlink w:anchor="_Toc11691181" w:history="1">
            <w:r w:rsidR="00B87109" w:rsidRPr="008730BC">
              <w:rPr>
                <w:rStyle w:val="Hipervnculo"/>
                <w:rFonts w:ascii="Palatino Linotype" w:eastAsia="Times New Roman" w:hAnsi="Palatino Linotype"/>
                <w:b/>
                <w:noProof/>
              </w:rPr>
              <w:t>I.</w:t>
            </w:r>
            <w:r w:rsidR="00B87109">
              <w:rPr>
                <w:rFonts w:eastAsiaTheme="minorEastAsia"/>
                <w:noProof/>
                <w:lang w:eastAsia="es-MX"/>
              </w:rPr>
              <w:tab/>
            </w:r>
            <w:r w:rsidR="00B87109" w:rsidRPr="008730BC">
              <w:rPr>
                <w:rStyle w:val="Hipervnculo"/>
                <w:rFonts w:ascii="Palatino Linotype" w:eastAsia="Times New Roman" w:hAnsi="Palatino Linotype"/>
                <w:b/>
                <w:noProof/>
              </w:rPr>
              <w:t>Consideraciones Generales</w:t>
            </w:r>
            <w:r w:rsidR="00B87109">
              <w:rPr>
                <w:noProof/>
                <w:webHidden/>
              </w:rPr>
              <w:tab/>
            </w:r>
            <w:r w:rsidR="00B87109">
              <w:rPr>
                <w:noProof/>
                <w:webHidden/>
              </w:rPr>
              <w:fldChar w:fldCharType="begin"/>
            </w:r>
            <w:r w:rsidR="00B87109">
              <w:rPr>
                <w:noProof/>
                <w:webHidden/>
              </w:rPr>
              <w:instrText xml:space="preserve"> PAGEREF _Toc11691181 \h </w:instrText>
            </w:r>
            <w:r w:rsidR="00B87109">
              <w:rPr>
                <w:noProof/>
                <w:webHidden/>
              </w:rPr>
            </w:r>
            <w:r w:rsidR="00B87109">
              <w:rPr>
                <w:noProof/>
                <w:webHidden/>
              </w:rPr>
              <w:fldChar w:fldCharType="separate"/>
            </w:r>
            <w:r w:rsidR="00400DFC">
              <w:rPr>
                <w:noProof/>
                <w:webHidden/>
              </w:rPr>
              <w:t>2</w:t>
            </w:r>
            <w:r w:rsidR="00B87109">
              <w:rPr>
                <w:noProof/>
                <w:webHidden/>
              </w:rPr>
              <w:fldChar w:fldCharType="end"/>
            </w:r>
          </w:hyperlink>
        </w:p>
        <w:p w14:paraId="31A22687" w14:textId="77777777" w:rsidR="00B87109" w:rsidRDefault="000F2213">
          <w:pPr>
            <w:pStyle w:val="TDC1"/>
            <w:tabs>
              <w:tab w:val="left" w:pos="660"/>
              <w:tab w:val="right" w:leader="dot" w:pos="8828"/>
            </w:tabs>
            <w:rPr>
              <w:rFonts w:eastAsiaTheme="minorEastAsia"/>
              <w:noProof/>
              <w:lang w:eastAsia="es-MX"/>
            </w:rPr>
          </w:pPr>
          <w:hyperlink w:anchor="_Toc11691182" w:history="1">
            <w:r w:rsidR="00B87109" w:rsidRPr="008730BC">
              <w:rPr>
                <w:rStyle w:val="Hipervnculo"/>
                <w:rFonts w:ascii="Palatino Linotype" w:eastAsia="Calibri" w:hAnsi="Palatino Linotype"/>
                <w:b/>
                <w:noProof/>
                <w:lang w:val="es-ES"/>
              </w:rPr>
              <w:t>II.</w:t>
            </w:r>
            <w:r w:rsidR="00B87109">
              <w:rPr>
                <w:rFonts w:eastAsiaTheme="minorEastAsia"/>
                <w:noProof/>
                <w:lang w:eastAsia="es-MX"/>
              </w:rPr>
              <w:tab/>
            </w:r>
            <w:r w:rsidR="00B87109" w:rsidRPr="008730BC">
              <w:rPr>
                <w:rStyle w:val="Hipervnculo"/>
                <w:rFonts w:ascii="Palatino Linotype" w:eastAsia="Calibri" w:hAnsi="Palatino Linotype"/>
                <w:b/>
                <w:noProof/>
                <w:lang w:val="es-ES"/>
              </w:rPr>
              <w:t>De los requerimientos planteados en el recurso de revisión.</w:t>
            </w:r>
            <w:r w:rsidR="00B87109">
              <w:rPr>
                <w:noProof/>
                <w:webHidden/>
              </w:rPr>
              <w:tab/>
            </w:r>
            <w:r w:rsidR="00B87109">
              <w:rPr>
                <w:noProof/>
                <w:webHidden/>
              </w:rPr>
              <w:fldChar w:fldCharType="begin"/>
            </w:r>
            <w:r w:rsidR="00B87109">
              <w:rPr>
                <w:noProof/>
                <w:webHidden/>
              </w:rPr>
              <w:instrText xml:space="preserve"> PAGEREF _Toc11691182 \h </w:instrText>
            </w:r>
            <w:r w:rsidR="00B87109">
              <w:rPr>
                <w:noProof/>
                <w:webHidden/>
              </w:rPr>
            </w:r>
            <w:r w:rsidR="00B87109">
              <w:rPr>
                <w:noProof/>
                <w:webHidden/>
              </w:rPr>
              <w:fldChar w:fldCharType="separate"/>
            </w:r>
            <w:r w:rsidR="00400DFC">
              <w:rPr>
                <w:noProof/>
                <w:webHidden/>
              </w:rPr>
              <w:t>3</w:t>
            </w:r>
            <w:r w:rsidR="00B87109">
              <w:rPr>
                <w:noProof/>
                <w:webHidden/>
              </w:rPr>
              <w:fldChar w:fldCharType="end"/>
            </w:r>
          </w:hyperlink>
        </w:p>
        <w:p w14:paraId="34ACD8C5" w14:textId="77777777" w:rsidR="00B87109" w:rsidRDefault="000F2213">
          <w:pPr>
            <w:pStyle w:val="TDC1"/>
            <w:tabs>
              <w:tab w:val="left" w:pos="660"/>
              <w:tab w:val="right" w:leader="dot" w:pos="8828"/>
            </w:tabs>
            <w:rPr>
              <w:rFonts w:eastAsiaTheme="minorEastAsia"/>
              <w:noProof/>
              <w:lang w:eastAsia="es-MX"/>
            </w:rPr>
          </w:pPr>
          <w:hyperlink w:anchor="_Toc11691183" w:history="1">
            <w:r w:rsidR="00B87109" w:rsidRPr="008730BC">
              <w:rPr>
                <w:rStyle w:val="Hipervnculo"/>
                <w:rFonts w:ascii="Palatino Linotype" w:eastAsia="Calibri" w:hAnsi="Palatino Linotype"/>
                <w:b/>
                <w:noProof/>
              </w:rPr>
              <w:t>III.</w:t>
            </w:r>
            <w:r w:rsidR="00B87109">
              <w:rPr>
                <w:rFonts w:eastAsiaTheme="minorEastAsia"/>
                <w:noProof/>
                <w:lang w:eastAsia="es-MX"/>
              </w:rPr>
              <w:tab/>
            </w:r>
            <w:r w:rsidR="00B87109" w:rsidRPr="008730BC">
              <w:rPr>
                <w:rStyle w:val="Hipervnculo"/>
                <w:rFonts w:ascii="Palatino Linotype" w:eastAsia="Calibri" w:hAnsi="Palatino Linotype"/>
                <w:b/>
                <w:noProof/>
              </w:rPr>
              <w:t>Del derecho de acceso a la información pública.</w:t>
            </w:r>
            <w:r w:rsidR="00B87109">
              <w:rPr>
                <w:noProof/>
                <w:webHidden/>
              </w:rPr>
              <w:tab/>
            </w:r>
            <w:r w:rsidR="00B87109">
              <w:rPr>
                <w:noProof/>
                <w:webHidden/>
              </w:rPr>
              <w:fldChar w:fldCharType="begin"/>
            </w:r>
            <w:r w:rsidR="00B87109">
              <w:rPr>
                <w:noProof/>
                <w:webHidden/>
              </w:rPr>
              <w:instrText xml:space="preserve"> PAGEREF _Toc11691183 \h </w:instrText>
            </w:r>
            <w:r w:rsidR="00B87109">
              <w:rPr>
                <w:noProof/>
                <w:webHidden/>
              </w:rPr>
            </w:r>
            <w:r w:rsidR="00B87109">
              <w:rPr>
                <w:noProof/>
                <w:webHidden/>
              </w:rPr>
              <w:fldChar w:fldCharType="separate"/>
            </w:r>
            <w:r w:rsidR="00400DFC">
              <w:rPr>
                <w:noProof/>
                <w:webHidden/>
              </w:rPr>
              <w:t>6</w:t>
            </w:r>
            <w:r w:rsidR="00B87109">
              <w:rPr>
                <w:noProof/>
                <w:webHidden/>
              </w:rPr>
              <w:fldChar w:fldCharType="end"/>
            </w:r>
          </w:hyperlink>
        </w:p>
        <w:p w14:paraId="6604BB3B" w14:textId="77777777" w:rsidR="00B87109" w:rsidRDefault="000F2213">
          <w:pPr>
            <w:pStyle w:val="TDC1"/>
            <w:tabs>
              <w:tab w:val="left" w:pos="660"/>
              <w:tab w:val="right" w:leader="dot" w:pos="8828"/>
            </w:tabs>
            <w:rPr>
              <w:rFonts w:eastAsiaTheme="minorEastAsia"/>
              <w:noProof/>
              <w:lang w:eastAsia="es-MX"/>
            </w:rPr>
          </w:pPr>
          <w:hyperlink w:anchor="_Toc11691184" w:history="1">
            <w:r w:rsidR="00B87109" w:rsidRPr="008730BC">
              <w:rPr>
                <w:rStyle w:val="Hipervnculo"/>
                <w:rFonts w:ascii="Palatino Linotype" w:eastAsia="Calibri" w:hAnsi="Palatino Linotype"/>
                <w:b/>
                <w:noProof/>
              </w:rPr>
              <w:t>IV.</w:t>
            </w:r>
            <w:r w:rsidR="00B87109">
              <w:rPr>
                <w:rFonts w:eastAsiaTheme="minorEastAsia"/>
                <w:noProof/>
                <w:lang w:eastAsia="es-MX"/>
              </w:rPr>
              <w:tab/>
            </w:r>
            <w:r w:rsidR="00B87109" w:rsidRPr="008730BC">
              <w:rPr>
                <w:rStyle w:val="Hipervnculo"/>
                <w:rFonts w:ascii="Palatino Linotype" w:eastAsia="Calibri" w:hAnsi="Palatino Linotype"/>
                <w:b/>
                <w:noProof/>
              </w:rPr>
              <w:t>Conclusión.</w:t>
            </w:r>
            <w:r w:rsidR="00B87109">
              <w:rPr>
                <w:noProof/>
                <w:webHidden/>
              </w:rPr>
              <w:tab/>
            </w:r>
            <w:r w:rsidR="00B87109">
              <w:rPr>
                <w:noProof/>
                <w:webHidden/>
              </w:rPr>
              <w:fldChar w:fldCharType="begin"/>
            </w:r>
            <w:r w:rsidR="00B87109">
              <w:rPr>
                <w:noProof/>
                <w:webHidden/>
              </w:rPr>
              <w:instrText xml:space="preserve"> PAGEREF _Toc11691184 \h </w:instrText>
            </w:r>
            <w:r w:rsidR="00B87109">
              <w:rPr>
                <w:noProof/>
                <w:webHidden/>
              </w:rPr>
            </w:r>
            <w:r w:rsidR="00B87109">
              <w:rPr>
                <w:noProof/>
                <w:webHidden/>
              </w:rPr>
              <w:fldChar w:fldCharType="separate"/>
            </w:r>
            <w:r w:rsidR="00400DFC">
              <w:rPr>
                <w:noProof/>
                <w:webHidden/>
              </w:rPr>
              <w:t>15</w:t>
            </w:r>
            <w:r w:rsidR="00B87109">
              <w:rPr>
                <w:noProof/>
                <w:webHidden/>
              </w:rPr>
              <w:fldChar w:fldCharType="end"/>
            </w:r>
          </w:hyperlink>
        </w:p>
        <w:p w14:paraId="3C3DD6C2" w14:textId="65766F3D" w:rsidR="0037684A" w:rsidRPr="00D80EE0" w:rsidRDefault="009C382C" w:rsidP="00D80EE0">
          <w:pPr>
            <w:spacing w:line="360" w:lineRule="auto"/>
            <w:jc w:val="both"/>
            <w:rPr>
              <w:rFonts w:ascii="Palatino Linotype" w:hAnsi="Palatino Linotype"/>
              <w:sz w:val="24"/>
              <w:szCs w:val="24"/>
            </w:rPr>
          </w:pPr>
          <w:r w:rsidRPr="00B177BA">
            <w:rPr>
              <w:rFonts w:ascii="Palatino Linotype" w:hAnsi="Palatino Linotype"/>
              <w:b/>
              <w:bCs/>
              <w:sz w:val="24"/>
              <w:szCs w:val="24"/>
              <w:lang w:val="es-ES"/>
            </w:rPr>
            <w:fldChar w:fldCharType="end"/>
          </w:r>
        </w:p>
      </w:sdtContent>
    </w:sdt>
    <w:p w14:paraId="75C5EC8E" w14:textId="66C58E44" w:rsidR="00B418D3" w:rsidRDefault="000D5AEA" w:rsidP="003879AF">
      <w:pPr>
        <w:pStyle w:val="Ttulo1"/>
        <w:numPr>
          <w:ilvl w:val="0"/>
          <w:numId w:val="15"/>
        </w:numPr>
        <w:spacing w:line="360" w:lineRule="auto"/>
        <w:ind w:left="0" w:firstLine="0"/>
        <w:jc w:val="both"/>
        <w:rPr>
          <w:rFonts w:ascii="Palatino Linotype" w:eastAsia="Times New Roman" w:hAnsi="Palatino Linotype"/>
          <w:b/>
          <w:color w:val="auto"/>
          <w:sz w:val="24"/>
        </w:rPr>
      </w:pPr>
      <w:bookmarkStart w:id="1" w:name="_Toc11691181"/>
      <w:r w:rsidRPr="00B177BA">
        <w:rPr>
          <w:rFonts w:ascii="Palatino Linotype" w:eastAsia="Times New Roman" w:hAnsi="Palatino Linotype"/>
          <w:b/>
          <w:color w:val="auto"/>
          <w:sz w:val="24"/>
        </w:rPr>
        <w:lastRenderedPageBreak/>
        <w:t>Consideraciones Generales</w:t>
      </w:r>
      <w:bookmarkEnd w:id="1"/>
    </w:p>
    <w:p w14:paraId="43EFB6B9" w14:textId="77777777" w:rsidR="005034FD" w:rsidRPr="005034FD" w:rsidRDefault="005034FD" w:rsidP="005034FD"/>
    <w:p w14:paraId="4510F9BF" w14:textId="7AE04DE7" w:rsidR="000D5AEA" w:rsidRPr="00BD04EC" w:rsidRDefault="00B418D3" w:rsidP="00AF7F27">
      <w:pPr>
        <w:numPr>
          <w:ilvl w:val="0"/>
          <w:numId w:val="8"/>
        </w:numPr>
        <w:spacing w:after="0" w:line="360" w:lineRule="auto"/>
        <w:ind w:left="0" w:firstLine="0"/>
        <w:contextualSpacing/>
        <w:jc w:val="both"/>
        <w:rPr>
          <w:rFonts w:ascii="Palatino Linotype" w:eastAsia="Calibri" w:hAnsi="Palatino Linotype" w:cs="Arial"/>
          <w:sz w:val="24"/>
          <w:szCs w:val="24"/>
        </w:rPr>
      </w:pPr>
      <w:r w:rsidRPr="00B177BA">
        <w:rPr>
          <w:rFonts w:ascii="Palatino Linotype" w:eastAsia="Times New Roman" w:hAnsi="Palatino Linotype" w:cs="Arial"/>
          <w:sz w:val="24"/>
          <w:szCs w:val="24"/>
          <w:lang w:val="es-ES_tradnl"/>
        </w:rPr>
        <w:t>He concurrido con mi voto</w:t>
      </w:r>
      <w:r w:rsidR="000D5AEA" w:rsidRPr="00B177BA">
        <w:rPr>
          <w:rFonts w:ascii="Palatino Linotype" w:eastAsia="Times New Roman" w:hAnsi="Palatino Linotype" w:cs="Arial"/>
          <w:sz w:val="24"/>
          <w:szCs w:val="24"/>
          <w:lang w:val="es-ES_tradnl"/>
        </w:rPr>
        <w:t xml:space="preserve"> particular de la presente resolución emitida </w:t>
      </w:r>
      <w:r w:rsidR="000D5AEA" w:rsidRPr="00B177BA">
        <w:rPr>
          <w:rFonts w:ascii="Palatino Linotype" w:eastAsia="Calibri" w:hAnsi="Palatino Linotype" w:cs="Arial"/>
          <w:sz w:val="24"/>
          <w:szCs w:val="24"/>
        </w:rPr>
        <w:t>por el Pleno del Instituto de Transparencia, Acceso a la Información Pública y Protección de Datos Personales del Estad</w:t>
      </w:r>
      <w:r w:rsidR="00320119">
        <w:rPr>
          <w:rFonts w:ascii="Palatino Linotype" w:eastAsia="Calibri" w:hAnsi="Palatino Linotype" w:cs="Arial"/>
          <w:sz w:val="24"/>
          <w:szCs w:val="24"/>
        </w:rPr>
        <w:t xml:space="preserve">o de México y Municipios, en su </w:t>
      </w:r>
      <w:r w:rsidR="00320119" w:rsidRPr="00320119">
        <w:rPr>
          <w:rFonts w:ascii="Palatino Linotype" w:eastAsia="Calibri" w:hAnsi="Palatino Linotype" w:cs="Arial"/>
          <w:b/>
          <w:sz w:val="24"/>
          <w:szCs w:val="24"/>
        </w:rPr>
        <w:t>Vigésima Segunda</w:t>
      </w:r>
      <w:r w:rsidR="00320119">
        <w:rPr>
          <w:rFonts w:ascii="Palatino Linotype" w:eastAsia="Calibri" w:hAnsi="Palatino Linotype" w:cs="Arial"/>
          <w:sz w:val="24"/>
          <w:szCs w:val="24"/>
        </w:rPr>
        <w:t xml:space="preserve"> </w:t>
      </w:r>
      <w:r w:rsidR="004B0239" w:rsidRPr="00B177BA">
        <w:rPr>
          <w:rFonts w:ascii="Palatino Linotype" w:eastAsia="Calibri" w:hAnsi="Palatino Linotype" w:cs="Arial"/>
          <w:sz w:val="24"/>
          <w:szCs w:val="24"/>
        </w:rPr>
        <w:t xml:space="preserve"> </w:t>
      </w:r>
      <w:r w:rsidR="004137A7" w:rsidRPr="00B177BA">
        <w:rPr>
          <w:rFonts w:ascii="Palatino Linotype" w:eastAsia="Calibri" w:hAnsi="Palatino Linotype" w:cs="Arial"/>
          <w:sz w:val="24"/>
          <w:szCs w:val="24"/>
        </w:rPr>
        <w:t xml:space="preserve">Sesión </w:t>
      </w:r>
      <w:r w:rsidR="004B0239" w:rsidRPr="00B177BA">
        <w:rPr>
          <w:rFonts w:ascii="Palatino Linotype" w:eastAsia="Calibri" w:hAnsi="Palatino Linotype" w:cs="Arial"/>
          <w:sz w:val="24"/>
          <w:szCs w:val="24"/>
        </w:rPr>
        <w:t xml:space="preserve">Ordinaria </w:t>
      </w:r>
      <w:r w:rsidR="00970949">
        <w:rPr>
          <w:rFonts w:ascii="Palatino Linotype" w:eastAsia="Calibri" w:hAnsi="Palatino Linotype" w:cs="Arial"/>
          <w:sz w:val="24"/>
          <w:szCs w:val="24"/>
        </w:rPr>
        <w:t>celebrada el</w:t>
      </w:r>
      <w:r w:rsidR="00320119">
        <w:rPr>
          <w:rFonts w:ascii="Palatino Linotype" w:eastAsia="Calibri" w:hAnsi="Palatino Linotype" w:cs="Arial"/>
          <w:sz w:val="24"/>
          <w:szCs w:val="24"/>
        </w:rPr>
        <w:t xml:space="preserve"> día doce </w:t>
      </w:r>
      <w:r w:rsidR="004137A7" w:rsidRPr="00B177BA">
        <w:rPr>
          <w:rFonts w:ascii="Palatino Linotype" w:eastAsia="Calibri" w:hAnsi="Palatino Linotype" w:cs="Arial"/>
          <w:sz w:val="24"/>
          <w:szCs w:val="24"/>
        </w:rPr>
        <w:t>(</w:t>
      </w:r>
      <w:r w:rsidR="00320119">
        <w:rPr>
          <w:rFonts w:ascii="Palatino Linotype" w:eastAsia="Calibri" w:hAnsi="Palatino Linotype" w:cs="Arial"/>
          <w:sz w:val="24"/>
          <w:szCs w:val="24"/>
        </w:rPr>
        <w:t>12</w:t>
      </w:r>
      <w:r w:rsidR="004137A7" w:rsidRPr="00B177BA">
        <w:rPr>
          <w:rFonts w:ascii="Palatino Linotype" w:eastAsia="Calibri" w:hAnsi="Palatino Linotype" w:cs="Arial"/>
          <w:sz w:val="24"/>
          <w:szCs w:val="24"/>
        </w:rPr>
        <w:t>)</w:t>
      </w:r>
      <w:r w:rsidR="004B0239" w:rsidRPr="00B177BA">
        <w:rPr>
          <w:rFonts w:ascii="Palatino Linotype" w:eastAsia="Calibri" w:hAnsi="Palatino Linotype" w:cs="Arial"/>
          <w:sz w:val="24"/>
          <w:szCs w:val="24"/>
        </w:rPr>
        <w:t xml:space="preserve"> de</w:t>
      </w:r>
      <w:r w:rsidR="00320119">
        <w:rPr>
          <w:rFonts w:ascii="Palatino Linotype" w:eastAsia="Calibri" w:hAnsi="Palatino Linotype" w:cs="Arial"/>
          <w:sz w:val="24"/>
          <w:szCs w:val="24"/>
        </w:rPr>
        <w:t xml:space="preserve"> junio </w:t>
      </w:r>
      <w:r w:rsidR="004137A7" w:rsidRPr="00B177BA">
        <w:rPr>
          <w:rFonts w:ascii="Palatino Linotype" w:eastAsia="Calibri" w:hAnsi="Palatino Linotype" w:cs="Arial"/>
          <w:sz w:val="24"/>
          <w:szCs w:val="24"/>
        </w:rPr>
        <w:t>de</w:t>
      </w:r>
      <w:r w:rsidR="00320119">
        <w:rPr>
          <w:rFonts w:ascii="Palatino Linotype" w:eastAsia="Calibri" w:hAnsi="Palatino Linotype" w:cs="Arial"/>
          <w:sz w:val="24"/>
          <w:szCs w:val="24"/>
        </w:rPr>
        <w:t xml:space="preserve"> dos mil diecinueve</w:t>
      </w:r>
      <w:r w:rsidR="004B0239" w:rsidRPr="00B177BA">
        <w:rPr>
          <w:rFonts w:ascii="Palatino Linotype" w:eastAsia="Calibri" w:hAnsi="Palatino Linotype" w:cs="Arial"/>
          <w:sz w:val="24"/>
          <w:szCs w:val="24"/>
        </w:rPr>
        <w:t>, en el recurso de revisión</w:t>
      </w:r>
      <w:r w:rsidR="000D5AEA" w:rsidRPr="00B177BA">
        <w:rPr>
          <w:rFonts w:ascii="Palatino Linotype" w:eastAsia="Calibri" w:hAnsi="Palatino Linotype" w:cs="Arial"/>
          <w:sz w:val="24"/>
          <w:szCs w:val="24"/>
        </w:rPr>
        <w:t xml:space="preserve"> interpuesto </w:t>
      </w:r>
      <w:r w:rsidR="004B0239" w:rsidRPr="00B177BA">
        <w:rPr>
          <w:rFonts w:ascii="Palatino Linotype" w:eastAsia="Calibri" w:hAnsi="Palatino Linotype" w:cs="Arial"/>
          <w:sz w:val="24"/>
          <w:szCs w:val="24"/>
        </w:rPr>
        <w:t>en contra de la respuesta del</w:t>
      </w:r>
      <w:r w:rsidR="00320119">
        <w:rPr>
          <w:rFonts w:ascii="Palatino Linotype" w:eastAsia="Calibri" w:hAnsi="Palatino Linotype" w:cs="Arial"/>
          <w:sz w:val="24"/>
          <w:szCs w:val="24"/>
        </w:rPr>
        <w:t xml:space="preserve"> </w:t>
      </w:r>
      <w:r w:rsidR="00320119">
        <w:rPr>
          <w:rFonts w:ascii="Palatino Linotype" w:eastAsia="Calibri" w:hAnsi="Palatino Linotype" w:cs="Arial"/>
          <w:b/>
          <w:sz w:val="24"/>
          <w:szCs w:val="24"/>
        </w:rPr>
        <w:t>Sistema de Transporte Masivo y Teleférico del Estado de México</w:t>
      </w:r>
      <w:r w:rsidR="000D5AEA" w:rsidRPr="00B177BA">
        <w:rPr>
          <w:rFonts w:ascii="Palatino Linotype" w:eastAsia="Calibri" w:hAnsi="Palatino Linotype" w:cs="Arial"/>
          <w:b/>
          <w:sz w:val="24"/>
          <w:szCs w:val="24"/>
        </w:rPr>
        <w:t xml:space="preserve">, </w:t>
      </w:r>
      <w:r w:rsidR="000D5AEA" w:rsidRPr="00B177BA">
        <w:rPr>
          <w:rFonts w:ascii="Palatino Linotype" w:eastAsia="Calibri" w:hAnsi="Palatino Linotype" w:cs="Arial"/>
          <w:sz w:val="24"/>
          <w:szCs w:val="24"/>
        </w:rPr>
        <w:t>procedimiento</w:t>
      </w:r>
      <w:r w:rsidR="00A5520B">
        <w:rPr>
          <w:rFonts w:ascii="Palatino Linotype" w:eastAsia="Calibri" w:hAnsi="Palatino Linotype" w:cs="Arial"/>
          <w:sz w:val="24"/>
          <w:szCs w:val="24"/>
        </w:rPr>
        <w:t xml:space="preserve"> </w:t>
      </w:r>
      <w:r w:rsidR="00A5520B" w:rsidRPr="00EA7DB1">
        <w:rPr>
          <w:rFonts w:ascii="Palatino Linotype" w:eastAsia="Calibri" w:hAnsi="Palatino Linotype" w:cs="Arial"/>
          <w:sz w:val="24"/>
          <w:szCs w:val="24"/>
        </w:rPr>
        <w:t>al</w:t>
      </w:r>
      <w:r w:rsidR="000D5AEA" w:rsidRPr="00B177BA">
        <w:rPr>
          <w:rFonts w:ascii="Palatino Linotype" w:eastAsia="Calibri" w:hAnsi="Palatino Linotype" w:cs="Arial"/>
          <w:sz w:val="24"/>
          <w:szCs w:val="24"/>
        </w:rPr>
        <w:t xml:space="preserve"> que le fue asignado el número</w:t>
      </w:r>
      <w:r w:rsidR="00320119">
        <w:rPr>
          <w:rFonts w:ascii="Palatino Linotype" w:eastAsia="Calibri" w:hAnsi="Palatino Linotype" w:cs="Arial"/>
          <w:sz w:val="24"/>
          <w:szCs w:val="24"/>
        </w:rPr>
        <w:t xml:space="preserve"> de expedient</w:t>
      </w:r>
      <w:r w:rsidR="00320119">
        <w:rPr>
          <w:rFonts w:ascii="Palatino Linotype" w:eastAsia="Calibri" w:hAnsi="Palatino Linotype" w:cs="Arial"/>
          <w:b/>
          <w:sz w:val="24"/>
          <w:szCs w:val="24"/>
        </w:rPr>
        <w:t xml:space="preserve">e </w:t>
      </w:r>
      <w:r w:rsidR="00320119">
        <w:rPr>
          <w:rFonts w:ascii="Palatino Linotype" w:eastAsia="Calibri" w:hAnsi="Palatino Linotype" w:cs="Arial"/>
          <w:sz w:val="24"/>
          <w:szCs w:val="24"/>
        </w:rPr>
        <w:t xml:space="preserve">al rubro indicado. </w:t>
      </w:r>
    </w:p>
    <w:p w14:paraId="4DBBB365" w14:textId="77777777" w:rsidR="00BD04EC" w:rsidRPr="00B177BA" w:rsidRDefault="00BD04EC" w:rsidP="00BD04EC">
      <w:pPr>
        <w:spacing w:after="0" w:line="360" w:lineRule="auto"/>
        <w:ind w:left="360"/>
        <w:contextualSpacing/>
        <w:jc w:val="both"/>
        <w:rPr>
          <w:rFonts w:ascii="Palatino Linotype" w:eastAsia="Calibri" w:hAnsi="Palatino Linotype" w:cs="Arial"/>
          <w:sz w:val="24"/>
          <w:szCs w:val="24"/>
        </w:rPr>
      </w:pPr>
    </w:p>
    <w:p w14:paraId="2B64ACF1" w14:textId="171FFF98" w:rsidR="0037684A" w:rsidRDefault="000D5AEA" w:rsidP="003879AF">
      <w:pPr>
        <w:numPr>
          <w:ilvl w:val="0"/>
          <w:numId w:val="8"/>
        </w:numPr>
        <w:spacing w:after="0" w:line="360" w:lineRule="auto"/>
        <w:ind w:left="0" w:firstLine="0"/>
        <w:contextualSpacing/>
        <w:jc w:val="both"/>
        <w:rPr>
          <w:rFonts w:ascii="Palatino Linotype" w:eastAsia="Calibri" w:hAnsi="Palatino Linotype" w:cs="Arial"/>
          <w:sz w:val="24"/>
          <w:szCs w:val="24"/>
        </w:rPr>
      </w:pPr>
      <w:r w:rsidRPr="00CC18E7">
        <w:rPr>
          <w:rFonts w:ascii="Palatino Linotype" w:eastAsia="Calibri" w:hAnsi="Palatino Linotype" w:cs="Arial"/>
          <w:sz w:val="24"/>
          <w:szCs w:val="24"/>
        </w:rPr>
        <w:t>L</w:t>
      </w:r>
      <w:r w:rsidR="004B0239" w:rsidRPr="00CC18E7">
        <w:rPr>
          <w:rFonts w:ascii="Palatino Linotype" w:eastAsia="Calibri" w:hAnsi="Palatino Linotype" w:cs="Arial"/>
          <w:sz w:val="24"/>
          <w:szCs w:val="24"/>
        </w:rPr>
        <w:t xml:space="preserve">a resolución determina </w:t>
      </w:r>
      <w:r w:rsidR="00970949" w:rsidRPr="00CC18E7">
        <w:rPr>
          <w:rFonts w:ascii="Palatino Linotype" w:eastAsia="Calibri" w:hAnsi="Palatino Linotype" w:cs="Arial"/>
          <w:b/>
          <w:sz w:val="24"/>
          <w:szCs w:val="24"/>
        </w:rPr>
        <w:t>CONFIRMAR</w:t>
      </w:r>
      <w:r w:rsidR="004137A7" w:rsidRPr="00CC18E7">
        <w:rPr>
          <w:rFonts w:ascii="Palatino Linotype" w:eastAsia="Calibri" w:hAnsi="Palatino Linotype" w:cs="Arial"/>
          <w:sz w:val="24"/>
          <w:szCs w:val="24"/>
        </w:rPr>
        <w:t xml:space="preserve"> </w:t>
      </w:r>
      <w:r w:rsidR="00970949" w:rsidRPr="00CC18E7">
        <w:rPr>
          <w:rFonts w:ascii="Palatino Linotype" w:eastAsia="Calibri" w:hAnsi="Palatino Linotype" w:cs="Arial"/>
          <w:sz w:val="24"/>
          <w:szCs w:val="24"/>
        </w:rPr>
        <w:t>la respuesta del Sujeto Obligado</w:t>
      </w:r>
      <w:r w:rsidR="00DF72AC" w:rsidRPr="00CC18E7">
        <w:rPr>
          <w:rFonts w:ascii="Palatino Linotype" w:eastAsia="Calibri" w:hAnsi="Palatino Linotype" w:cs="Arial"/>
          <w:sz w:val="24"/>
          <w:szCs w:val="24"/>
        </w:rPr>
        <w:t xml:space="preserve">, tomando en consideración </w:t>
      </w:r>
      <w:r w:rsidR="00970949" w:rsidRPr="00CC18E7">
        <w:rPr>
          <w:rFonts w:ascii="Palatino Linotype" w:eastAsia="Calibri" w:hAnsi="Palatino Linotype" w:cs="Arial"/>
          <w:sz w:val="24"/>
          <w:szCs w:val="24"/>
        </w:rPr>
        <w:t>que la respuesta satisface el derecho accionado por el recurrente, mediante la</w:t>
      </w:r>
      <w:r w:rsidR="009A3791" w:rsidRPr="00CC18E7">
        <w:rPr>
          <w:rFonts w:ascii="Palatino Linotype" w:eastAsia="Calibri" w:hAnsi="Palatino Linotype" w:cs="Arial"/>
          <w:sz w:val="24"/>
          <w:szCs w:val="24"/>
        </w:rPr>
        <w:t xml:space="preserve"> cual se </w:t>
      </w:r>
      <w:r w:rsidR="00CC18E7" w:rsidRPr="00CC18E7">
        <w:rPr>
          <w:rFonts w:ascii="Palatino Linotype" w:eastAsia="Calibri" w:hAnsi="Palatino Linotype" w:cs="Arial"/>
          <w:sz w:val="24"/>
          <w:szCs w:val="24"/>
        </w:rPr>
        <w:t xml:space="preserve">refiere que no existe la información solicitada por no contar con el proyecto referido. </w:t>
      </w:r>
    </w:p>
    <w:p w14:paraId="489AC925" w14:textId="77777777" w:rsidR="003879AF" w:rsidRPr="00CC18E7" w:rsidRDefault="003879AF" w:rsidP="003879AF">
      <w:pPr>
        <w:spacing w:after="0" w:line="360" w:lineRule="auto"/>
        <w:contextualSpacing/>
        <w:jc w:val="both"/>
        <w:rPr>
          <w:rFonts w:ascii="Palatino Linotype" w:eastAsia="Calibri" w:hAnsi="Palatino Linotype" w:cs="Arial"/>
          <w:sz w:val="24"/>
          <w:szCs w:val="24"/>
        </w:rPr>
      </w:pPr>
    </w:p>
    <w:p w14:paraId="351A415F" w14:textId="65957333" w:rsidR="00474F28" w:rsidRPr="00B177BA" w:rsidRDefault="009A3791" w:rsidP="00CC18E7">
      <w:pPr>
        <w:numPr>
          <w:ilvl w:val="0"/>
          <w:numId w:val="8"/>
        </w:numPr>
        <w:spacing w:after="0" w:line="360" w:lineRule="auto"/>
        <w:ind w:left="0" w:firstLine="0"/>
        <w:contextualSpacing/>
        <w:jc w:val="both"/>
        <w:rPr>
          <w:rFonts w:ascii="Palatino Linotype" w:eastAsia="Calibri" w:hAnsi="Palatino Linotype" w:cs="Arial"/>
          <w:sz w:val="24"/>
          <w:szCs w:val="24"/>
          <w:lang w:val="es-ES"/>
        </w:rPr>
      </w:pPr>
      <w:r w:rsidRPr="00B177BA">
        <w:rPr>
          <w:rFonts w:ascii="Palatino Linotype" w:eastAsia="Calibri" w:hAnsi="Palatino Linotype" w:cs="Arial"/>
          <w:sz w:val="24"/>
          <w:szCs w:val="24"/>
        </w:rPr>
        <w:t>Es precisamente</w:t>
      </w:r>
      <w:r w:rsidR="00474F28" w:rsidRPr="00B177BA">
        <w:rPr>
          <w:rFonts w:ascii="Palatino Linotype" w:eastAsia="Calibri" w:hAnsi="Palatino Linotype" w:cs="Arial"/>
          <w:sz w:val="24"/>
          <w:szCs w:val="24"/>
        </w:rPr>
        <w:t xml:space="preserve"> </w:t>
      </w:r>
      <w:r w:rsidR="007768A2" w:rsidRPr="00B177BA">
        <w:rPr>
          <w:rFonts w:ascii="Palatino Linotype" w:eastAsia="Calibri" w:hAnsi="Palatino Linotype" w:cs="Arial"/>
          <w:sz w:val="24"/>
          <w:szCs w:val="24"/>
        </w:rPr>
        <w:t xml:space="preserve">de </w:t>
      </w:r>
      <w:r w:rsidR="00474F28" w:rsidRPr="00B177BA">
        <w:rPr>
          <w:rFonts w:ascii="Palatino Linotype" w:eastAsia="Calibri" w:hAnsi="Palatino Linotype" w:cs="Arial"/>
          <w:sz w:val="24"/>
          <w:szCs w:val="24"/>
        </w:rPr>
        <w:t>la</w:t>
      </w:r>
      <w:r w:rsidR="003879AF">
        <w:rPr>
          <w:rFonts w:ascii="Palatino Linotype" w:eastAsia="Calibri" w:hAnsi="Palatino Linotype" w:cs="Arial"/>
          <w:sz w:val="24"/>
          <w:szCs w:val="24"/>
        </w:rPr>
        <w:t xml:space="preserve"> simple manifestación del Sujeto Obligado</w:t>
      </w:r>
      <w:r w:rsidR="00474F28" w:rsidRPr="00B177BA">
        <w:rPr>
          <w:rFonts w:ascii="Palatino Linotype" w:eastAsia="Calibri" w:hAnsi="Palatino Linotype" w:cs="Arial"/>
          <w:sz w:val="24"/>
          <w:szCs w:val="24"/>
        </w:rPr>
        <w:t xml:space="preserve"> de donde surge la necesidad de realizar el presente voto particular, pues considero firmemente que se debió hacer más que solo </w:t>
      </w:r>
      <w:r w:rsidR="00755DAF">
        <w:rPr>
          <w:rFonts w:ascii="Palatino Linotype" w:eastAsia="Calibri" w:hAnsi="Palatino Linotype" w:cs="Arial"/>
          <w:sz w:val="24"/>
          <w:szCs w:val="24"/>
        </w:rPr>
        <w:t>expresar que la información no obra dentro de los archivos de</w:t>
      </w:r>
      <w:r w:rsidR="00E9629C">
        <w:rPr>
          <w:rFonts w:ascii="Palatino Linotype" w:eastAsia="Calibri" w:hAnsi="Palatino Linotype" w:cs="Arial"/>
          <w:sz w:val="24"/>
          <w:szCs w:val="24"/>
        </w:rPr>
        <w:t>l área de la</w:t>
      </w:r>
      <w:r w:rsidR="00D03587">
        <w:rPr>
          <w:rFonts w:ascii="Palatino Linotype" w:eastAsia="Calibri" w:hAnsi="Palatino Linotype" w:cs="Arial"/>
          <w:sz w:val="24"/>
          <w:szCs w:val="24"/>
        </w:rPr>
        <w:t xml:space="preserve"> Dirección de Planeación, Proyectos y Construcción. </w:t>
      </w:r>
      <w:r w:rsidR="00E9629C">
        <w:rPr>
          <w:rFonts w:ascii="Palatino Linotype" w:eastAsia="Calibri" w:hAnsi="Palatino Linotype" w:cs="Arial"/>
          <w:sz w:val="24"/>
          <w:szCs w:val="24"/>
        </w:rPr>
        <w:t xml:space="preserve"> </w:t>
      </w:r>
    </w:p>
    <w:p w14:paraId="4B4AA0EB" w14:textId="77777777" w:rsidR="00474F28" w:rsidRPr="00B177BA" w:rsidRDefault="00474F28" w:rsidP="00B177BA">
      <w:pPr>
        <w:pStyle w:val="Prrafodelista"/>
        <w:spacing w:line="360" w:lineRule="auto"/>
        <w:jc w:val="both"/>
        <w:rPr>
          <w:rFonts w:ascii="Palatino Linotype" w:eastAsia="Calibri" w:hAnsi="Palatino Linotype" w:cs="Arial"/>
          <w:sz w:val="24"/>
          <w:szCs w:val="24"/>
          <w:lang w:val="es-ES"/>
        </w:rPr>
      </w:pPr>
    </w:p>
    <w:p w14:paraId="34610F70" w14:textId="5128086B" w:rsidR="009C382C" w:rsidRPr="00D03587" w:rsidRDefault="009C382C" w:rsidP="00AE5143">
      <w:pPr>
        <w:numPr>
          <w:ilvl w:val="0"/>
          <w:numId w:val="8"/>
        </w:numPr>
        <w:spacing w:after="0" w:line="360" w:lineRule="auto"/>
        <w:ind w:left="0" w:firstLine="0"/>
        <w:contextualSpacing/>
        <w:jc w:val="both"/>
        <w:rPr>
          <w:rFonts w:ascii="Palatino Linotype" w:eastAsia="Calibri" w:hAnsi="Palatino Linotype" w:cs="Arial"/>
          <w:sz w:val="24"/>
          <w:szCs w:val="24"/>
          <w:lang w:val="es-ES"/>
        </w:rPr>
      </w:pPr>
      <w:r w:rsidRPr="00D03587">
        <w:rPr>
          <w:rFonts w:ascii="Palatino Linotype" w:eastAsia="Calibri" w:hAnsi="Palatino Linotype" w:cs="Arial"/>
          <w:sz w:val="24"/>
          <w:szCs w:val="24"/>
          <w:lang w:val="es-ES"/>
        </w:rPr>
        <w:lastRenderedPageBreak/>
        <w:t>Por</w:t>
      </w:r>
      <w:r w:rsidRPr="00D03587">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r w:rsidR="00755DAF" w:rsidRPr="00D03587">
        <w:rPr>
          <w:rFonts w:ascii="Palatino Linotype" w:eastAsia="Calibri" w:hAnsi="Palatino Linotype" w:cs="Arial"/>
          <w:sz w:val="24"/>
          <w:szCs w:val="24"/>
        </w:rPr>
        <w:t xml:space="preserve"> al considerar que la</w:t>
      </w:r>
      <w:r w:rsidR="00D03587" w:rsidRPr="00D03587">
        <w:rPr>
          <w:rFonts w:ascii="Palatino Linotype" w:eastAsia="Calibri" w:hAnsi="Palatino Linotype" w:cs="Arial"/>
          <w:sz w:val="24"/>
          <w:szCs w:val="24"/>
        </w:rPr>
        <w:t xml:space="preserve"> respuesta otorgada por el Sujeto Obligado deja en estado de incertidumbre al particular. </w:t>
      </w:r>
      <w:r w:rsidR="00755DAF" w:rsidRPr="00D03587">
        <w:rPr>
          <w:rFonts w:ascii="Palatino Linotype" w:eastAsia="Calibri" w:hAnsi="Palatino Linotype" w:cs="Arial"/>
          <w:sz w:val="24"/>
          <w:szCs w:val="24"/>
        </w:rPr>
        <w:t xml:space="preserve"> </w:t>
      </w:r>
    </w:p>
    <w:p w14:paraId="07D7C911" w14:textId="77777777" w:rsidR="00D03587" w:rsidRPr="00D03587" w:rsidRDefault="00D03587" w:rsidP="00D03587">
      <w:pPr>
        <w:spacing w:after="0" w:line="360" w:lineRule="auto"/>
        <w:contextualSpacing/>
        <w:jc w:val="both"/>
        <w:rPr>
          <w:rFonts w:ascii="Palatino Linotype" w:eastAsia="Calibri" w:hAnsi="Palatino Linotype" w:cs="Arial"/>
          <w:sz w:val="24"/>
          <w:szCs w:val="24"/>
          <w:lang w:val="es-ES"/>
        </w:rPr>
      </w:pPr>
    </w:p>
    <w:p w14:paraId="1C21CC58" w14:textId="77777777" w:rsidR="009C382C" w:rsidRPr="00B177BA" w:rsidRDefault="009C382C" w:rsidP="003879AF">
      <w:pPr>
        <w:pStyle w:val="Ttulo1"/>
        <w:numPr>
          <w:ilvl w:val="0"/>
          <w:numId w:val="15"/>
        </w:numPr>
        <w:spacing w:line="360" w:lineRule="auto"/>
        <w:ind w:left="0" w:firstLine="0"/>
        <w:jc w:val="both"/>
        <w:rPr>
          <w:rFonts w:ascii="Palatino Linotype" w:eastAsia="Calibri" w:hAnsi="Palatino Linotype"/>
          <w:b/>
          <w:color w:val="auto"/>
          <w:sz w:val="24"/>
          <w:lang w:val="es-ES"/>
        </w:rPr>
      </w:pPr>
      <w:bookmarkStart w:id="2" w:name="_Toc11691182"/>
      <w:r w:rsidRPr="00B177BA">
        <w:rPr>
          <w:rFonts w:ascii="Palatino Linotype" w:eastAsia="Calibri" w:hAnsi="Palatino Linotype"/>
          <w:b/>
          <w:color w:val="auto"/>
          <w:sz w:val="24"/>
          <w:lang w:val="es-ES"/>
        </w:rPr>
        <w:t>De los requerimientos planteados en el recurso de revisión.</w:t>
      </w:r>
      <w:bookmarkEnd w:id="2"/>
    </w:p>
    <w:p w14:paraId="57A90609" w14:textId="77777777" w:rsidR="001744A9" w:rsidRPr="00B177BA" w:rsidRDefault="001744A9" w:rsidP="00B177BA">
      <w:pPr>
        <w:pStyle w:val="Prrafodelista"/>
        <w:spacing w:line="360" w:lineRule="auto"/>
        <w:jc w:val="both"/>
        <w:rPr>
          <w:rFonts w:ascii="Palatino Linotype" w:eastAsia="Calibri" w:hAnsi="Palatino Linotype" w:cs="Arial"/>
          <w:sz w:val="24"/>
          <w:szCs w:val="24"/>
          <w:lang w:val="es-ES"/>
        </w:rPr>
      </w:pPr>
    </w:p>
    <w:p w14:paraId="4AC4EFAD" w14:textId="474188D1" w:rsidR="00E9629C" w:rsidRPr="00E9629C" w:rsidRDefault="009C382C" w:rsidP="00D03587">
      <w:pPr>
        <w:numPr>
          <w:ilvl w:val="0"/>
          <w:numId w:val="8"/>
        </w:numPr>
        <w:tabs>
          <w:tab w:val="left" w:pos="0"/>
        </w:tabs>
        <w:spacing w:after="0" w:line="360" w:lineRule="auto"/>
        <w:ind w:left="0" w:firstLine="0"/>
        <w:contextualSpacing/>
        <w:jc w:val="both"/>
        <w:rPr>
          <w:rFonts w:ascii="Palatino Linotype" w:eastAsia="Calibri" w:hAnsi="Palatino Linotype" w:cs="Arial"/>
          <w:sz w:val="24"/>
          <w:szCs w:val="24"/>
          <w:lang w:val="es-ES"/>
        </w:rPr>
      </w:pPr>
      <w:r w:rsidRPr="00B177BA">
        <w:rPr>
          <w:rFonts w:ascii="Palatino Linotype" w:eastAsia="Calibri" w:hAnsi="Palatino Linotype" w:cs="Arial"/>
          <w:sz w:val="24"/>
          <w:szCs w:val="24"/>
          <w:lang w:val="es-ES"/>
        </w:rPr>
        <w:t xml:space="preserve">En </w:t>
      </w:r>
      <w:r w:rsidRPr="00B177BA">
        <w:rPr>
          <w:rFonts w:ascii="Palatino Linotype" w:eastAsia="Calibri" w:hAnsi="Palatino Linotype" w:cs="Times New Roman"/>
          <w:sz w:val="24"/>
          <w:szCs w:val="24"/>
        </w:rPr>
        <w:t>ejercicio del derecho constitucional</w:t>
      </w:r>
      <w:r w:rsidR="007768A2" w:rsidRPr="00B177BA">
        <w:rPr>
          <w:rFonts w:ascii="Palatino Linotype" w:eastAsia="Calibri" w:hAnsi="Palatino Linotype" w:cs="Times New Roman"/>
          <w:sz w:val="24"/>
          <w:szCs w:val="24"/>
        </w:rPr>
        <w:t xml:space="preserve"> y convencionalmente reconocido</w:t>
      </w:r>
      <w:r w:rsidRPr="00B177BA">
        <w:rPr>
          <w:rFonts w:ascii="Palatino Linotype" w:eastAsia="Calibri" w:hAnsi="Palatino Linotype" w:cs="Times New Roman"/>
          <w:sz w:val="24"/>
          <w:szCs w:val="24"/>
        </w:rPr>
        <w:t xml:space="preserve"> que le asiste</w:t>
      </w:r>
      <w:r w:rsidR="007768A2" w:rsidRPr="00B177BA">
        <w:rPr>
          <w:rFonts w:ascii="Palatino Linotype" w:eastAsia="Calibri" w:hAnsi="Palatino Linotype" w:cs="Times New Roman"/>
          <w:sz w:val="24"/>
          <w:szCs w:val="24"/>
        </w:rPr>
        <w:t>,</w:t>
      </w:r>
      <w:r w:rsidRPr="00B177BA">
        <w:rPr>
          <w:rFonts w:ascii="Palatino Linotype" w:eastAsia="Calibri" w:hAnsi="Palatino Linotype" w:cs="Times New Roman"/>
          <w:sz w:val="24"/>
          <w:szCs w:val="24"/>
        </w:rPr>
        <w:t xml:space="preserve"> </w:t>
      </w:r>
      <w:r w:rsidR="007768A2" w:rsidRPr="00B177BA">
        <w:rPr>
          <w:rFonts w:ascii="Palatino Linotype" w:eastAsia="Calibri" w:hAnsi="Palatino Linotype" w:cs="Times New Roman"/>
          <w:sz w:val="24"/>
          <w:szCs w:val="24"/>
        </w:rPr>
        <w:t>e</w:t>
      </w:r>
      <w:r w:rsidRPr="00B177BA">
        <w:rPr>
          <w:rFonts w:ascii="Palatino Linotype" w:eastAsia="Calibri" w:hAnsi="Palatino Linotype" w:cs="Times New Roman"/>
          <w:sz w:val="24"/>
          <w:szCs w:val="24"/>
        </w:rPr>
        <w:t>l particular formuló una solicit</w:t>
      </w:r>
      <w:r w:rsidR="007768A2" w:rsidRPr="00B177BA">
        <w:rPr>
          <w:rFonts w:ascii="Palatino Linotype" w:eastAsia="Calibri" w:hAnsi="Palatino Linotype" w:cs="Times New Roman"/>
          <w:sz w:val="24"/>
          <w:szCs w:val="24"/>
        </w:rPr>
        <w:t xml:space="preserve">ud de información en la cual </w:t>
      </w:r>
      <w:r w:rsidR="00E9629C">
        <w:rPr>
          <w:rFonts w:ascii="Palatino Linotype" w:eastAsia="Calibri" w:hAnsi="Palatino Linotype" w:cs="Times New Roman"/>
          <w:sz w:val="24"/>
          <w:szCs w:val="24"/>
        </w:rPr>
        <w:t>so</w:t>
      </w:r>
      <w:r w:rsidR="00D03587">
        <w:rPr>
          <w:rFonts w:ascii="Palatino Linotype" w:eastAsia="Calibri" w:hAnsi="Palatino Linotype" w:cs="Times New Roman"/>
          <w:sz w:val="24"/>
          <w:szCs w:val="24"/>
        </w:rPr>
        <w:t>licito del Sistema de Transporte Masivo y Teleférico del Estado de México</w:t>
      </w:r>
      <w:r w:rsidR="00E9629C">
        <w:rPr>
          <w:rFonts w:ascii="Palatino Linotype" w:eastAsia="Calibri" w:hAnsi="Palatino Linotype" w:cs="Times New Roman"/>
          <w:sz w:val="24"/>
          <w:szCs w:val="24"/>
        </w:rPr>
        <w:t xml:space="preserve">, lo siguiente: </w:t>
      </w:r>
    </w:p>
    <w:p w14:paraId="2B1EC6DD" w14:textId="77777777" w:rsidR="00E9629C" w:rsidRDefault="00E9629C" w:rsidP="00E9629C">
      <w:pPr>
        <w:spacing w:after="0" w:line="360" w:lineRule="auto"/>
        <w:ind w:left="426"/>
        <w:contextualSpacing/>
        <w:jc w:val="both"/>
        <w:rPr>
          <w:rFonts w:ascii="Palatino Linotype" w:eastAsia="Calibri" w:hAnsi="Palatino Linotype" w:cs="Times New Roman"/>
          <w:sz w:val="24"/>
          <w:szCs w:val="24"/>
        </w:rPr>
      </w:pPr>
    </w:p>
    <w:p w14:paraId="6A7C886B" w14:textId="7ED7ED3A" w:rsidR="00D03587" w:rsidRPr="00D03587" w:rsidRDefault="00D03587" w:rsidP="00D03587">
      <w:pPr>
        <w:spacing w:before="100" w:beforeAutospacing="1" w:after="100" w:afterAutospacing="1" w:line="360" w:lineRule="auto"/>
        <w:ind w:right="757"/>
        <w:jc w:val="both"/>
        <w:rPr>
          <w:rFonts w:ascii="Palatino Linotype" w:eastAsia="Times New Roman" w:hAnsi="Palatino Linotype" w:cs="Times New Roman"/>
          <w:b/>
          <w:bCs/>
          <w:sz w:val="24"/>
          <w:szCs w:val="24"/>
          <w:lang w:eastAsia="es-ES"/>
        </w:rPr>
      </w:pPr>
      <w:r>
        <w:rPr>
          <w:rFonts w:ascii="Palatino Linotype" w:eastAsia="Times New Roman" w:hAnsi="Palatino Linotype" w:cs="Arial"/>
          <w:b/>
          <w:bCs/>
          <w:sz w:val="24"/>
          <w:szCs w:val="24"/>
          <w:lang w:eastAsia="es-ES"/>
        </w:rPr>
        <w:t xml:space="preserve">Solicitud </w:t>
      </w:r>
      <w:r w:rsidRPr="00D03587">
        <w:rPr>
          <w:rFonts w:ascii="Palatino Linotype" w:eastAsia="Times New Roman" w:hAnsi="Palatino Linotype" w:cs="Arial"/>
          <w:b/>
          <w:bCs/>
          <w:sz w:val="24"/>
          <w:szCs w:val="24"/>
          <w:lang w:eastAsia="es-ES"/>
        </w:rPr>
        <w:t>00010/STMEM/IP/2019</w:t>
      </w:r>
      <w:r>
        <w:rPr>
          <w:rFonts w:ascii="Palatino Linotype" w:eastAsia="Times New Roman" w:hAnsi="Palatino Linotype" w:cs="Arial"/>
          <w:b/>
          <w:bCs/>
          <w:sz w:val="24"/>
          <w:szCs w:val="24"/>
          <w:lang w:eastAsia="es-ES"/>
        </w:rPr>
        <w:t>.</w:t>
      </w:r>
    </w:p>
    <w:p w14:paraId="468A519A" w14:textId="77777777" w:rsidR="00D03587" w:rsidRPr="00D03587" w:rsidRDefault="00D03587" w:rsidP="00D03587">
      <w:pPr>
        <w:spacing w:before="100" w:beforeAutospacing="1" w:after="100" w:afterAutospacing="1" w:line="240" w:lineRule="auto"/>
        <w:ind w:left="709" w:right="757"/>
        <w:jc w:val="both"/>
        <w:rPr>
          <w:rFonts w:ascii="Palatino Linotype" w:eastAsia="Times New Roman" w:hAnsi="Palatino Linotype" w:cs="Times New Roman"/>
          <w:i/>
          <w:szCs w:val="24"/>
          <w:lang w:eastAsia="es-ES"/>
        </w:rPr>
      </w:pPr>
      <w:r w:rsidRPr="00D03587">
        <w:rPr>
          <w:rFonts w:ascii="Palatino Linotype" w:eastAsia="Times New Roman" w:hAnsi="Palatino Linotype" w:cs="Times New Roman"/>
          <w:i/>
          <w:szCs w:val="24"/>
          <w:lang w:eastAsia="es-ES"/>
        </w:rPr>
        <w:t xml:space="preserve">“DE CONFORMIDAD CON el articulo 12 y el TITULO QUINTO, artículo 92 fracción XXXII, entre otras de la Ley de Transparencia y Acceso a la Información Pública del Estado de México y Municipios, los LINEAMIENTOS GENERALES EN MATERIA DE CLASIFICACIÓN Y DESCLASIFICACIÓN DE LA INFORMACIÓN, ASÍ COMO PARA LA ELABORACIÓN DE VERSIONES PÚBLICAS; Capítulo IX, y de conformidad con el PROGRAMA DE OBRA PUBLICA 2019 del Gobierno del Estado de México donde se tiene presupuestado la cantidad $ 975, 000,000.00 para el Proyecto MEXICABLE ECATEPEC-TLALNEPANTLA por lo que solicito se me envié vía SAIMEX la siguiente información pública; 1.- EL ESTUDIO DEL PROYECTO EJECUTIVO DEL PROYECTO MEXICABLE ECATEPEC-TLALNEPANTLA 2.- EL ESTUDIO O LOS ESTUDIOS DE FACTIBILIDAD PARA LA REALIZACION DEL </w:t>
      </w:r>
      <w:r w:rsidRPr="00D03587">
        <w:rPr>
          <w:rFonts w:ascii="Palatino Linotype" w:eastAsia="Times New Roman" w:hAnsi="Palatino Linotype" w:cs="Times New Roman"/>
          <w:i/>
          <w:szCs w:val="24"/>
          <w:lang w:eastAsia="es-ES"/>
        </w:rPr>
        <w:lastRenderedPageBreak/>
        <w:t>PROYECTO MEXICABLE ECATEPEC-TLALNEPANTLA. 3.- EL ESTUDIO DEL O LOS ANALISIS REALIZADOS PARA EL PROYECTO MEXICABLE ECATEPEC-TLALNEPANTLA.” (Sic)</w:t>
      </w:r>
    </w:p>
    <w:p w14:paraId="43696DE4" w14:textId="000B4262" w:rsidR="00D03587" w:rsidRPr="00D03587" w:rsidRDefault="00D03587" w:rsidP="00D03587">
      <w:pPr>
        <w:spacing w:before="100" w:beforeAutospacing="1" w:after="100" w:afterAutospacing="1" w:line="360" w:lineRule="auto"/>
        <w:ind w:right="757"/>
        <w:jc w:val="both"/>
        <w:rPr>
          <w:rFonts w:ascii="Palatino Linotype" w:eastAsia="Times New Roman" w:hAnsi="Palatino Linotype" w:cs="Times New Roman"/>
          <w:b/>
          <w:bCs/>
          <w:sz w:val="24"/>
          <w:szCs w:val="24"/>
          <w:lang w:eastAsia="es-ES"/>
        </w:rPr>
      </w:pPr>
      <w:r>
        <w:rPr>
          <w:rFonts w:ascii="Palatino Linotype" w:eastAsia="Times New Roman" w:hAnsi="Palatino Linotype" w:cs="Arial"/>
          <w:b/>
          <w:bCs/>
          <w:sz w:val="24"/>
          <w:szCs w:val="24"/>
          <w:lang w:eastAsia="es-ES"/>
        </w:rPr>
        <w:t xml:space="preserve">Solicitud </w:t>
      </w:r>
      <w:r w:rsidRPr="00D03587">
        <w:rPr>
          <w:rFonts w:ascii="Palatino Linotype" w:eastAsia="Times New Roman" w:hAnsi="Palatino Linotype" w:cs="Arial"/>
          <w:b/>
          <w:bCs/>
          <w:sz w:val="24"/>
          <w:szCs w:val="24"/>
          <w:lang w:eastAsia="es-ES"/>
        </w:rPr>
        <w:t>00011/STMEM/IP/2019</w:t>
      </w:r>
      <w:r>
        <w:rPr>
          <w:rFonts w:ascii="Palatino Linotype" w:eastAsia="Times New Roman" w:hAnsi="Palatino Linotype" w:cs="Arial"/>
          <w:b/>
          <w:bCs/>
          <w:sz w:val="24"/>
          <w:szCs w:val="24"/>
          <w:lang w:eastAsia="es-ES"/>
        </w:rPr>
        <w:t xml:space="preserve">. </w:t>
      </w:r>
    </w:p>
    <w:p w14:paraId="3EA9A1B7" w14:textId="77777777" w:rsidR="00D03587" w:rsidRPr="00D03587" w:rsidRDefault="00D03587" w:rsidP="00D03587">
      <w:pPr>
        <w:spacing w:before="100" w:beforeAutospacing="1" w:after="100" w:afterAutospacing="1" w:line="240" w:lineRule="auto"/>
        <w:ind w:left="709" w:right="757"/>
        <w:jc w:val="both"/>
        <w:rPr>
          <w:rFonts w:ascii="Palatino Linotype" w:eastAsia="Times New Roman" w:hAnsi="Palatino Linotype" w:cs="Times New Roman"/>
          <w:bCs/>
          <w:i/>
          <w:szCs w:val="24"/>
          <w:lang w:eastAsia="es-ES"/>
        </w:rPr>
      </w:pPr>
      <w:r w:rsidRPr="00D03587">
        <w:rPr>
          <w:rFonts w:ascii="Palatino Linotype" w:eastAsia="Times New Roman" w:hAnsi="Palatino Linotype" w:cs="Times New Roman"/>
          <w:bCs/>
          <w:i/>
          <w:szCs w:val="24"/>
          <w:lang w:eastAsia="es-ES"/>
        </w:rPr>
        <w:t>“DE CONFORMIDAD CON el articulo 12 y el TITULO QUINTO, artículo 92 fracción XXXII, entre otras de la Ley de Transparencia y Acceso a la Información Pública del Estado de México y Municipios, los LINEAMIENTOS GENERALES EN MATERIA DE CLASIFICACIÓN Y DESCLASIFICACIÓN DE LA INFORMACIÓN, ASÍ COMO PARA LA ELABORACIÓN DE VERSIONES PÚBLICAS; Capítulo IX, y de conformidad con el PROGRAMA DE OBRA PUBLICA 2019 del Gobierno del Estado de México donde se tiene presupuestado la cantidad $ 949, 000,000.00 para el Proyecto MEXIBUS V NAUCALPAN-TEXCOCO por lo que solicito se me envié vía SAIMEX la siguiente información pública; 1.- EL ESTUDIO DEL PROYECTO EJECUTIVO DEL Proyecto MEXIBUS V NAUCALPAN-TEXCOCO. 2.- EL ESTUDIO O LOS ESTUDIOS DE FACTIBILIDAD PARA LA REALIZACIÓN DEL Proyecto MEXIBUS V NAUCALPAN-TEXCOCO. 3.- EL ESTUDIO DEL O LOS ANÁLISIS REALIZADOS PARA EL Proyecto MEXIBUS V NAUCALPAN-TEXCOCO.” (Sic)</w:t>
      </w:r>
    </w:p>
    <w:p w14:paraId="7842249A" w14:textId="77777777" w:rsidR="00E9629C" w:rsidRPr="00B177BA" w:rsidRDefault="00E9629C" w:rsidP="00252F83">
      <w:pPr>
        <w:spacing w:after="0" w:line="360" w:lineRule="auto"/>
        <w:ind w:left="426"/>
        <w:contextualSpacing/>
        <w:jc w:val="both"/>
        <w:rPr>
          <w:rFonts w:ascii="Palatino Linotype" w:eastAsia="Calibri" w:hAnsi="Palatino Linotype" w:cs="Arial"/>
          <w:sz w:val="24"/>
          <w:szCs w:val="24"/>
          <w:lang w:val="es-ES"/>
        </w:rPr>
      </w:pPr>
    </w:p>
    <w:p w14:paraId="4E9DC13D" w14:textId="623F3DF6" w:rsidR="007768A2" w:rsidRPr="00D03587" w:rsidRDefault="007768A2" w:rsidP="00D03587">
      <w:pPr>
        <w:numPr>
          <w:ilvl w:val="0"/>
          <w:numId w:val="8"/>
        </w:numPr>
        <w:spacing w:after="0" w:line="360" w:lineRule="auto"/>
        <w:ind w:left="0" w:firstLine="0"/>
        <w:contextualSpacing/>
        <w:jc w:val="both"/>
        <w:rPr>
          <w:rFonts w:ascii="Palatino Linotype" w:eastAsia="Calibri" w:hAnsi="Palatino Linotype" w:cs="Arial"/>
          <w:sz w:val="24"/>
          <w:szCs w:val="24"/>
          <w:lang w:val="es-ES"/>
        </w:rPr>
      </w:pPr>
      <w:r w:rsidRPr="00D03587">
        <w:rPr>
          <w:rFonts w:ascii="Palatino Linotype" w:eastAsia="Times New Roman" w:hAnsi="Palatino Linotype" w:cs="Times New Roman"/>
          <w:sz w:val="24"/>
          <w:szCs w:val="24"/>
          <w:lang w:val="es-ES" w:eastAsia="es-ES"/>
        </w:rPr>
        <w:t>En respuesta a la solicitud</w:t>
      </w:r>
      <w:r w:rsidR="00252F83" w:rsidRPr="00D03587">
        <w:rPr>
          <w:rFonts w:ascii="Palatino Linotype" w:eastAsia="Times New Roman" w:hAnsi="Palatino Linotype" w:cs="Times New Roman"/>
          <w:sz w:val="24"/>
          <w:szCs w:val="24"/>
          <w:lang w:val="es-ES" w:eastAsia="es-ES"/>
        </w:rPr>
        <w:t xml:space="preserve">, el Sujeto Obligado </w:t>
      </w:r>
      <w:r w:rsidR="006B547A" w:rsidRPr="00D03587">
        <w:rPr>
          <w:rFonts w:ascii="Palatino Linotype" w:eastAsia="Times New Roman" w:hAnsi="Palatino Linotype" w:cs="Times New Roman"/>
          <w:sz w:val="24"/>
          <w:szCs w:val="24"/>
          <w:lang w:val="es-ES" w:eastAsia="es-ES"/>
        </w:rPr>
        <w:t xml:space="preserve">medularmente </w:t>
      </w:r>
      <w:r w:rsidR="00252F83" w:rsidRPr="00D03587">
        <w:rPr>
          <w:rFonts w:ascii="Palatino Linotype" w:eastAsia="Times New Roman" w:hAnsi="Palatino Linotype" w:cs="Times New Roman"/>
          <w:sz w:val="24"/>
          <w:szCs w:val="24"/>
          <w:lang w:val="es-ES" w:eastAsia="es-ES"/>
        </w:rPr>
        <w:t xml:space="preserve">señala que </w:t>
      </w:r>
      <w:r w:rsidR="00D03587">
        <w:rPr>
          <w:rFonts w:ascii="Palatino Linotype" w:eastAsia="Times New Roman" w:hAnsi="Palatino Linotype" w:cs="Times New Roman"/>
          <w:sz w:val="24"/>
          <w:szCs w:val="24"/>
          <w:lang w:val="es-ES" w:eastAsia="es-ES"/>
        </w:rPr>
        <w:t xml:space="preserve">no se cuenta con la información solicitad toda vez que no existe ningún proyecto relacionado con los solicitados por el particular. </w:t>
      </w:r>
    </w:p>
    <w:p w14:paraId="5A166919" w14:textId="77777777" w:rsidR="00252F83" w:rsidRDefault="00252F83" w:rsidP="00252F83">
      <w:pPr>
        <w:pStyle w:val="Prrafodelista"/>
        <w:rPr>
          <w:rFonts w:ascii="Palatino Linotype" w:eastAsia="Calibri" w:hAnsi="Palatino Linotype" w:cs="Arial"/>
          <w:sz w:val="24"/>
          <w:szCs w:val="24"/>
          <w:lang w:val="es-ES"/>
        </w:rPr>
      </w:pPr>
    </w:p>
    <w:p w14:paraId="1EE55F1E" w14:textId="16AC29FE" w:rsidR="00D03587" w:rsidRPr="00D03587" w:rsidRDefault="00D03587" w:rsidP="00D03587">
      <w:pPr>
        <w:numPr>
          <w:ilvl w:val="0"/>
          <w:numId w:val="8"/>
        </w:numPr>
        <w:spacing w:after="0" w:line="360" w:lineRule="auto"/>
        <w:ind w:left="0" w:right="49"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otra parte </w:t>
      </w:r>
      <w:r w:rsidR="003B2521">
        <w:rPr>
          <w:rFonts w:ascii="Palatino Linotype" w:eastAsia="Calibri" w:hAnsi="Palatino Linotype" w:cs="Arial"/>
          <w:sz w:val="24"/>
          <w:szCs w:val="24"/>
        </w:rPr>
        <w:t>el particular</w:t>
      </w:r>
      <w:r>
        <w:rPr>
          <w:rFonts w:ascii="Palatino Linotype" w:eastAsia="Calibri" w:hAnsi="Palatino Linotype" w:cs="Arial"/>
          <w:sz w:val="24"/>
          <w:szCs w:val="24"/>
        </w:rPr>
        <w:t xml:space="preserve"> mediante la interposición del recurso de revisión manifestó su inconformidad por la inexistencia de la información solicitada y anexó un documento en formato .xlsx en calidad de indicio denominado </w:t>
      </w:r>
      <w:hyperlink r:id="rId8" w:tgtFrame="_blank" w:history="1">
        <w:r w:rsidRPr="00D03587">
          <w:rPr>
            <w:rStyle w:val="Hipervnculo"/>
            <w:rFonts w:ascii="Palatino Linotype" w:eastAsia="Calibri" w:hAnsi="Palatino Linotype" w:cs="Arial"/>
            <w:b/>
            <w:bCs/>
            <w:color w:val="000000" w:themeColor="text1"/>
            <w:sz w:val="24"/>
            <w:szCs w:val="24"/>
            <w:u w:val="none"/>
          </w:rPr>
          <w:t>obra-publica-</w:t>
        </w:r>
        <w:r w:rsidRPr="00D03587">
          <w:rPr>
            <w:rStyle w:val="Hipervnculo"/>
            <w:rFonts w:ascii="Palatino Linotype" w:eastAsia="Calibri" w:hAnsi="Palatino Linotype" w:cs="Arial"/>
            <w:b/>
            <w:bCs/>
            <w:color w:val="000000" w:themeColor="text1"/>
            <w:sz w:val="24"/>
            <w:szCs w:val="24"/>
            <w:u w:val="none"/>
          </w:rPr>
          <w:lastRenderedPageBreak/>
          <w:t>2019.xlsx</w:t>
        </w:r>
      </w:hyperlink>
      <w:r>
        <w:rPr>
          <w:rFonts w:ascii="Palatino Linotype" w:eastAsia="Calibri" w:hAnsi="Palatino Linotype" w:cs="Arial"/>
          <w:color w:val="000000" w:themeColor="text1"/>
          <w:sz w:val="24"/>
          <w:szCs w:val="24"/>
        </w:rPr>
        <w:t xml:space="preserve"> el cual según se aprecia contiene información relacionada con los “Requerimientos del Estado para el Presupuesto de Egresos de la Federación para el Ejercicio Fiscal 2019” como a continuación se observa: </w:t>
      </w:r>
    </w:p>
    <w:p w14:paraId="1EC1FCD2" w14:textId="77777777" w:rsidR="00D03587" w:rsidRDefault="00D03587" w:rsidP="00D03587">
      <w:pPr>
        <w:pStyle w:val="Prrafodelista"/>
        <w:rPr>
          <w:rFonts w:ascii="Palatino Linotype" w:eastAsia="Calibri" w:hAnsi="Palatino Linotype" w:cs="Arial"/>
          <w:sz w:val="24"/>
          <w:szCs w:val="24"/>
        </w:rPr>
      </w:pPr>
    </w:p>
    <w:p w14:paraId="778AB155" w14:textId="0CD27F63" w:rsidR="00D03587" w:rsidRPr="00D03587" w:rsidRDefault="00D03587" w:rsidP="00D03587">
      <w:pPr>
        <w:spacing w:after="0" w:line="360" w:lineRule="auto"/>
        <w:ind w:right="49"/>
        <w:contextualSpacing/>
        <w:jc w:val="both"/>
        <w:rPr>
          <w:rFonts w:ascii="Palatino Linotype" w:eastAsia="Calibri" w:hAnsi="Palatino Linotype" w:cs="Arial"/>
          <w:sz w:val="24"/>
          <w:szCs w:val="24"/>
        </w:rPr>
      </w:pPr>
    </w:p>
    <w:p w14:paraId="5D0A15F1" w14:textId="026D9E22" w:rsidR="00D03587" w:rsidRDefault="003879AF" w:rsidP="00D03587">
      <w:pPr>
        <w:spacing w:after="0" w:line="360" w:lineRule="auto"/>
        <w:ind w:right="49" w:hanging="426"/>
        <w:contextualSpacing/>
        <w:jc w:val="center"/>
        <w:rPr>
          <w:rFonts w:ascii="Palatino Linotype" w:eastAsia="Calibri" w:hAnsi="Palatino Linotype" w:cs="Arial"/>
          <w:sz w:val="24"/>
          <w:szCs w:val="24"/>
        </w:rPr>
      </w:pPr>
      <w:r>
        <w:rPr>
          <w:noProof/>
          <w:lang w:eastAsia="es-MX"/>
        </w:rPr>
        <mc:AlternateContent>
          <mc:Choice Requires="wps">
            <w:drawing>
              <wp:anchor distT="0" distB="0" distL="114300" distR="114300" simplePos="0" relativeHeight="251661312" behindDoc="0" locked="0" layoutInCell="1" allowOverlap="1" wp14:anchorId="72B17666" wp14:editId="6B114DBF">
                <wp:simplePos x="0" y="0"/>
                <wp:positionH relativeFrom="margin">
                  <wp:align>right</wp:align>
                </wp:positionH>
                <wp:positionV relativeFrom="paragraph">
                  <wp:posOffset>897255</wp:posOffset>
                </wp:positionV>
                <wp:extent cx="4953000" cy="485775"/>
                <wp:effectExtent l="19050" t="19050" r="19050" b="28575"/>
                <wp:wrapNone/>
                <wp:docPr id="4" name="Rectángulo 4"/>
                <wp:cNvGraphicFramePr/>
                <a:graphic xmlns:a="http://schemas.openxmlformats.org/drawingml/2006/main">
                  <a:graphicData uri="http://schemas.microsoft.com/office/word/2010/wordprocessingShape">
                    <wps:wsp>
                      <wps:cNvSpPr/>
                      <wps:spPr>
                        <a:xfrm>
                          <a:off x="0" y="0"/>
                          <a:ext cx="4953000" cy="485775"/>
                        </a:xfrm>
                        <a:prstGeom prst="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14307B" id="Rectángulo 4" o:spid="_x0000_s1026" style="position:absolute;margin-left:338.8pt;margin-top:70.65pt;width:390pt;height:38.2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" filled="f" strokecolor="red" strokeweight="2.25pt">
                <w10:wrap anchorx="margin"/>
              </v:rect>
            </w:pict>
          </mc:Fallback>
        </mc:AlternateContent>
      </w:r>
      <w:r w:rsidR="00D03587">
        <w:rPr>
          <w:noProof/>
          <w:lang w:eastAsia="es-MX"/>
        </w:rPr>
        <mc:AlternateContent>
          <mc:Choice Requires="wps">
            <w:drawing>
              <wp:anchor distT="0" distB="0" distL="114300" distR="114300" simplePos="0" relativeHeight="251659264" behindDoc="0" locked="0" layoutInCell="1" allowOverlap="1" wp14:anchorId="793C00F2" wp14:editId="53354DF8">
                <wp:simplePos x="0" y="0"/>
                <wp:positionH relativeFrom="column">
                  <wp:posOffset>1815465</wp:posOffset>
                </wp:positionH>
                <wp:positionV relativeFrom="paragraph">
                  <wp:posOffset>63500</wp:posOffset>
                </wp:positionV>
                <wp:extent cx="3981450" cy="161925"/>
                <wp:effectExtent l="19050" t="19050" r="19050" b="28575"/>
                <wp:wrapNone/>
                <wp:docPr id="3" name="Rectángulo 3"/>
                <wp:cNvGraphicFramePr/>
                <a:graphic xmlns:a="http://schemas.openxmlformats.org/drawingml/2006/main">
                  <a:graphicData uri="http://schemas.microsoft.com/office/word/2010/wordprocessingShape">
                    <wps:wsp>
                      <wps:cNvSpPr/>
                      <wps:spPr>
                        <a:xfrm>
                          <a:off x="0" y="0"/>
                          <a:ext cx="3981450" cy="16192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A7FC30" id="Rectángulo 3" o:spid="_x0000_s1026" style="position:absolute;margin-left:142.95pt;margin-top:5pt;width:313.5pt;height:12.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" filled="f" strokecolor="red" strokeweight="2.25pt"/>
            </w:pict>
          </mc:Fallback>
        </mc:AlternateContent>
      </w:r>
      <w:r w:rsidR="00D03587">
        <w:rPr>
          <w:noProof/>
          <w:lang w:eastAsia="es-MX"/>
        </w:rPr>
        <w:drawing>
          <wp:inline distT="0" distB="0" distL="0" distR="0" wp14:anchorId="6453952E" wp14:editId="350EBF20">
            <wp:extent cx="6077873" cy="36861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70" t="16294" r="32337" b="10929"/>
                    <a:stretch/>
                  </pic:blipFill>
                  <pic:spPr bwMode="auto">
                    <a:xfrm>
                      <a:off x="0" y="0"/>
                      <a:ext cx="6085859" cy="3691019"/>
                    </a:xfrm>
                    <a:prstGeom prst="rect">
                      <a:avLst/>
                    </a:prstGeom>
                    <a:ln>
                      <a:noFill/>
                    </a:ln>
                    <a:extLst>
                      <a:ext uri="{53640926-AAD7-44D8-BBD7-CCE9431645EC}">
                        <a14:shadowObscured xmlns:a14="http://schemas.microsoft.com/office/drawing/2010/main"/>
                      </a:ext>
                    </a:extLst>
                  </pic:spPr>
                </pic:pic>
              </a:graphicData>
            </a:graphic>
          </wp:inline>
        </w:drawing>
      </w:r>
    </w:p>
    <w:p w14:paraId="683CA7F8" w14:textId="77777777" w:rsidR="003A213C" w:rsidRPr="00B177BA" w:rsidRDefault="003A213C" w:rsidP="009B0061">
      <w:pPr>
        <w:spacing w:after="0" w:line="360" w:lineRule="auto"/>
        <w:contextualSpacing/>
        <w:jc w:val="both"/>
        <w:rPr>
          <w:rFonts w:ascii="Palatino Linotype" w:eastAsia="Calibri" w:hAnsi="Palatino Linotype" w:cs="Arial"/>
          <w:sz w:val="24"/>
          <w:szCs w:val="24"/>
        </w:rPr>
      </w:pPr>
    </w:p>
    <w:p w14:paraId="7A04C0FD" w14:textId="1A50B9FE" w:rsidR="003A213C" w:rsidRPr="001460F2" w:rsidRDefault="00924296" w:rsidP="009B0061">
      <w:pPr>
        <w:numPr>
          <w:ilvl w:val="0"/>
          <w:numId w:val="8"/>
        </w:numPr>
        <w:spacing w:after="0" w:line="360" w:lineRule="auto"/>
        <w:ind w:left="0" w:firstLine="0"/>
        <w:contextualSpacing/>
        <w:jc w:val="both"/>
        <w:rPr>
          <w:rFonts w:ascii="Palatino Linotype" w:eastAsia="Calibri" w:hAnsi="Palatino Linotype" w:cs="Arial"/>
          <w:sz w:val="24"/>
          <w:szCs w:val="24"/>
        </w:rPr>
      </w:pPr>
      <w:r w:rsidRPr="00B177BA">
        <w:rPr>
          <w:rFonts w:ascii="Palatino Linotype" w:eastAsia="Calibri" w:hAnsi="Palatino Linotype" w:cs="Arial"/>
          <w:sz w:val="24"/>
          <w:szCs w:val="24"/>
        </w:rPr>
        <w:t>Por otra parte, en el</w:t>
      </w:r>
      <w:r w:rsidR="003A213C" w:rsidRPr="00B177BA">
        <w:rPr>
          <w:rFonts w:ascii="Palatino Linotype" w:eastAsia="Calibri" w:hAnsi="Palatino Linotype" w:cs="Arial"/>
          <w:sz w:val="24"/>
          <w:szCs w:val="24"/>
        </w:rPr>
        <w:t xml:space="preserve"> respectivo informe justificado </w:t>
      </w:r>
      <w:r w:rsidRPr="00B177BA">
        <w:rPr>
          <w:rFonts w:ascii="Palatino Linotype" w:eastAsia="Calibri" w:hAnsi="Palatino Linotype" w:cs="Arial"/>
          <w:sz w:val="24"/>
          <w:szCs w:val="24"/>
        </w:rPr>
        <w:t>emitido por e</w:t>
      </w:r>
      <w:r w:rsidR="003A213C" w:rsidRPr="00B177BA">
        <w:rPr>
          <w:rFonts w:ascii="Palatino Linotype" w:eastAsia="Calibri" w:hAnsi="Palatino Linotype" w:cs="Arial"/>
          <w:sz w:val="24"/>
          <w:szCs w:val="24"/>
        </w:rPr>
        <w:t>l Sujeto Obligado, medularmente ratifica su respuesta</w:t>
      </w:r>
      <w:r w:rsidR="00136B94">
        <w:rPr>
          <w:rFonts w:ascii="Palatino Linotype" w:eastAsia="Calibri" w:hAnsi="Palatino Linotype" w:cs="Arial"/>
          <w:sz w:val="24"/>
          <w:szCs w:val="24"/>
        </w:rPr>
        <w:t xml:space="preserve"> sigu</w:t>
      </w:r>
      <w:r w:rsidR="009B0061">
        <w:rPr>
          <w:rFonts w:ascii="Palatino Linotype" w:eastAsia="Calibri" w:hAnsi="Palatino Linotype" w:cs="Arial"/>
          <w:sz w:val="24"/>
          <w:szCs w:val="24"/>
        </w:rPr>
        <w:t>iendo con la omisión de privilegiar el principio de máxima publicidad.</w:t>
      </w:r>
    </w:p>
    <w:p w14:paraId="236C9955" w14:textId="77777777" w:rsidR="00065B49" w:rsidRPr="00B177BA" w:rsidRDefault="00065B49" w:rsidP="00B177BA">
      <w:pPr>
        <w:pStyle w:val="Prrafodelista"/>
        <w:spacing w:line="360" w:lineRule="auto"/>
        <w:jc w:val="both"/>
        <w:rPr>
          <w:rFonts w:ascii="Palatino Linotype" w:eastAsia="Calibri" w:hAnsi="Palatino Linotype" w:cs="Arial"/>
          <w:sz w:val="24"/>
          <w:szCs w:val="24"/>
        </w:rPr>
      </w:pPr>
    </w:p>
    <w:p w14:paraId="49E24C64" w14:textId="32C39C87" w:rsidR="00136B94" w:rsidRDefault="00924296" w:rsidP="009B0061">
      <w:pPr>
        <w:numPr>
          <w:ilvl w:val="0"/>
          <w:numId w:val="8"/>
        </w:numPr>
        <w:spacing w:after="0" w:line="360" w:lineRule="auto"/>
        <w:ind w:left="0" w:firstLine="0"/>
        <w:contextualSpacing/>
        <w:jc w:val="both"/>
        <w:rPr>
          <w:rFonts w:ascii="Palatino Linotype" w:eastAsia="Calibri" w:hAnsi="Palatino Linotype" w:cs="Arial"/>
          <w:sz w:val="24"/>
          <w:szCs w:val="24"/>
        </w:rPr>
      </w:pPr>
      <w:r w:rsidRPr="00B177BA">
        <w:rPr>
          <w:rFonts w:ascii="Palatino Linotype" w:eastAsia="Calibri" w:hAnsi="Palatino Linotype" w:cs="Arial"/>
          <w:sz w:val="24"/>
          <w:szCs w:val="24"/>
        </w:rPr>
        <w:lastRenderedPageBreak/>
        <w:t>Ante dicha situación,</w:t>
      </w:r>
      <w:r w:rsidR="00065B49" w:rsidRPr="00B177BA">
        <w:rPr>
          <w:rFonts w:ascii="Palatino Linotype" w:eastAsia="Calibri" w:hAnsi="Palatino Linotype" w:cs="Arial"/>
          <w:sz w:val="24"/>
          <w:szCs w:val="24"/>
        </w:rPr>
        <w:t xml:space="preserve"> me aparto de la </w:t>
      </w:r>
      <w:r w:rsidR="00A5520B" w:rsidRPr="00EA7DB1">
        <w:rPr>
          <w:rFonts w:ascii="Palatino Linotype" w:eastAsia="Calibri" w:hAnsi="Palatino Linotype" w:cs="Arial"/>
          <w:sz w:val="24"/>
          <w:szCs w:val="24"/>
        </w:rPr>
        <w:t>resolución</w:t>
      </w:r>
      <w:r w:rsidR="00EA7DB1" w:rsidRPr="00EA7DB1">
        <w:rPr>
          <w:rFonts w:ascii="Palatino Linotype" w:eastAsia="Calibri" w:hAnsi="Palatino Linotype" w:cs="Arial"/>
          <w:sz w:val="24"/>
          <w:szCs w:val="24"/>
        </w:rPr>
        <w:t>,</w:t>
      </w:r>
      <w:r w:rsidR="00EA7DB1">
        <w:rPr>
          <w:rFonts w:ascii="Palatino Linotype" w:eastAsia="Calibri" w:hAnsi="Palatino Linotype" w:cs="Arial"/>
          <w:sz w:val="24"/>
          <w:szCs w:val="24"/>
        </w:rPr>
        <w:t xml:space="preserve"> </w:t>
      </w:r>
      <w:r w:rsidR="00136B94">
        <w:rPr>
          <w:rFonts w:ascii="Palatino Linotype" w:eastAsia="Calibri" w:hAnsi="Palatino Linotype" w:cs="Arial"/>
          <w:sz w:val="24"/>
          <w:szCs w:val="24"/>
        </w:rPr>
        <w:t xml:space="preserve">toda vez que </w:t>
      </w:r>
      <w:r w:rsidR="009B0061">
        <w:rPr>
          <w:rFonts w:ascii="Palatino Linotype" w:eastAsia="Calibri" w:hAnsi="Palatino Linotype" w:cs="Arial"/>
          <w:sz w:val="24"/>
          <w:szCs w:val="24"/>
        </w:rPr>
        <w:t xml:space="preserve">considero que la respuesta otorgada por el </w:t>
      </w:r>
      <w:r w:rsidR="009B0061">
        <w:rPr>
          <w:rFonts w:ascii="Palatino Linotype" w:eastAsia="Calibri" w:hAnsi="Palatino Linotype" w:cs="Arial"/>
          <w:b/>
          <w:sz w:val="24"/>
          <w:szCs w:val="24"/>
        </w:rPr>
        <w:t xml:space="preserve">SUJETO OBLIGADO </w:t>
      </w:r>
      <w:r w:rsidR="009B0061">
        <w:rPr>
          <w:rFonts w:ascii="Palatino Linotype" w:eastAsia="Calibri" w:hAnsi="Palatino Linotype" w:cs="Arial"/>
          <w:sz w:val="24"/>
          <w:szCs w:val="24"/>
        </w:rPr>
        <w:t xml:space="preserve">no atiende de forma cabal lo solicitado por el particular dejándolo así tanto a al solicitante como a este Órgano Garante en estado de incertidumbre. </w:t>
      </w:r>
    </w:p>
    <w:p w14:paraId="5DC3A402" w14:textId="77777777" w:rsidR="00136B94" w:rsidRDefault="00136B94" w:rsidP="003879AF">
      <w:pPr>
        <w:pStyle w:val="Prrafodelista"/>
        <w:tabs>
          <w:tab w:val="left" w:pos="0"/>
        </w:tabs>
        <w:ind w:left="0"/>
        <w:rPr>
          <w:rFonts w:ascii="Palatino Linotype" w:eastAsia="Calibri" w:hAnsi="Palatino Linotype" w:cs="Arial"/>
          <w:sz w:val="24"/>
          <w:szCs w:val="24"/>
        </w:rPr>
      </w:pPr>
    </w:p>
    <w:p w14:paraId="099A72A4" w14:textId="11C2E56C" w:rsidR="006577B9" w:rsidRPr="00B177BA" w:rsidRDefault="00FF3FF1" w:rsidP="003879AF">
      <w:pPr>
        <w:pStyle w:val="Ttulo1"/>
        <w:numPr>
          <w:ilvl w:val="0"/>
          <w:numId w:val="15"/>
        </w:numPr>
        <w:spacing w:line="360" w:lineRule="auto"/>
        <w:ind w:left="0" w:firstLine="0"/>
        <w:jc w:val="both"/>
        <w:rPr>
          <w:rFonts w:ascii="Palatino Linotype" w:eastAsia="Calibri" w:hAnsi="Palatino Linotype"/>
          <w:b/>
          <w:color w:val="auto"/>
          <w:sz w:val="24"/>
        </w:rPr>
      </w:pPr>
      <w:r>
        <w:rPr>
          <w:rFonts w:ascii="Palatino Linotype" w:eastAsia="Calibri" w:hAnsi="Palatino Linotype"/>
          <w:b/>
          <w:color w:val="auto"/>
          <w:sz w:val="24"/>
        </w:rPr>
        <w:t xml:space="preserve"> </w:t>
      </w:r>
      <w:bookmarkStart w:id="3" w:name="_Toc11691183"/>
      <w:r w:rsidR="00D5058C" w:rsidRPr="00B177BA">
        <w:rPr>
          <w:rFonts w:ascii="Palatino Linotype" w:eastAsia="Calibri" w:hAnsi="Palatino Linotype"/>
          <w:b/>
          <w:color w:val="auto"/>
          <w:sz w:val="24"/>
        </w:rPr>
        <w:t>De</w:t>
      </w:r>
      <w:r w:rsidR="009B0061">
        <w:rPr>
          <w:rFonts w:ascii="Palatino Linotype" w:eastAsia="Calibri" w:hAnsi="Palatino Linotype"/>
          <w:b/>
          <w:color w:val="auto"/>
          <w:sz w:val="24"/>
        </w:rPr>
        <w:t>l derecho de acceso a la información pública</w:t>
      </w:r>
      <w:r w:rsidR="00924296" w:rsidRPr="00B177BA">
        <w:rPr>
          <w:rFonts w:ascii="Palatino Linotype" w:eastAsia="Calibri" w:hAnsi="Palatino Linotype"/>
          <w:b/>
          <w:color w:val="auto"/>
          <w:sz w:val="24"/>
        </w:rPr>
        <w:t>.</w:t>
      </w:r>
      <w:bookmarkEnd w:id="3"/>
    </w:p>
    <w:p w14:paraId="052CB8ED" w14:textId="77777777" w:rsidR="008039E7" w:rsidRDefault="008039E7" w:rsidP="00B177BA">
      <w:pPr>
        <w:spacing w:after="0" w:line="360" w:lineRule="auto"/>
        <w:ind w:left="360"/>
        <w:contextualSpacing/>
        <w:jc w:val="both"/>
        <w:rPr>
          <w:rFonts w:ascii="Palatino Linotype" w:eastAsia="Calibri" w:hAnsi="Palatino Linotype" w:cs="Arial"/>
          <w:sz w:val="24"/>
          <w:szCs w:val="24"/>
        </w:rPr>
      </w:pPr>
    </w:p>
    <w:p w14:paraId="5EE18EA2" w14:textId="77777777" w:rsidR="00786731" w:rsidRPr="00786731" w:rsidRDefault="00A86A18" w:rsidP="00786731">
      <w:pPr>
        <w:numPr>
          <w:ilvl w:val="0"/>
          <w:numId w:val="8"/>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Cabe mencionar que el derecho de acceso a la información se encuentra contenido en un mandato constitucional y de igual manera es materia de convenciones internacionales, en consecuencia, cabe señalar que </w:t>
      </w:r>
      <w:r w:rsidRPr="00A86A18">
        <w:rPr>
          <w:rFonts w:ascii="Palatino Linotype" w:hAnsi="Palatino Linotype"/>
          <w:lang w:val="es-ES"/>
        </w:rPr>
        <w:t xml:space="preserve">la </w:t>
      </w:r>
      <w:r w:rsidRPr="00A86A18">
        <w:rPr>
          <w:rFonts w:ascii="Palatino Linotype" w:eastAsia="Times New Roman" w:hAnsi="Palatino Linotype" w:cs="Arial"/>
          <w:lang w:val="es-ES"/>
        </w:rPr>
        <w:t>Comisión interamericana de Derechos Humanos refiere que “</w:t>
      </w:r>
      <w:r w:rsidRPr="00A86A18">
        <w:rPr>
          <w:rFonts w:ascii="Palatino Linotype" w:hAnsi="Palatino Linotype"/>
          <w:i/>
        </w:rPr>
        <w:t>El Estado tiene la obligación de responder sustancialmente a las solicitudes de información que le sean formuladas. En efecto, el artículo 13 de la Convención Americana, al amparar el derecho de las personas a acceder a la información en poder del Estado, establece una obligación positiva para éste de suministrar de manera oportuna, completa y accesible, la información solicitada”</w:t>
      </w:r>
      <w:r>
        <w:rPr>
          <w:rStyle w:val="Refdenotaalpie"/>
          <w:rFonts w:ascii="Palatino Linotype" w:eastAsia="Times New Roman" w:hAnsi="Palatino Linotype" w:cs="Arial"/>
          <w:lang w:val="es-ES"/>
        </w:rPr>
        <w:footnoteReference w:id="1"/>
      </w:r>
      <w:r w:rsidRPr="00A86A18">
        <w:rPr>
          <w:rFonts w:ascii="Palatino Linotype" w:hAnsi="Palatino Linotype"/>
          <w:i/>
        </w:rPr>
        <w:t xml:space="preserve">, </w:t>
      </w:r>
      <w:r>
        <w:rPr>
          <w:rFonts w:ascii="Palatino Linotype" w:hAnsi="Palatino Linotype"/>
        </w:rPr>
        <w:t xml:space="preserve">asimismo, </w:t>
      </w:r>
      <w:r w:rsidR="0045548B">
        <w:rPr>
          <w:rFonts w:ascii="Palatino Linotype" w:hAnsi="Palatino Linotype"/>
        </w:rPr>
        <w:t>es necesario enfatizar que el Instituto se rige, entre otros, por el principio de certeza</w:t>
      </w:r>
      <w:r w:rsidR="0045548B">
        <w:rPr>
          <w:rStyle w:val="Refdenotaalpie"/>
          <w:rFonts w:ascii="Palatino Linotype" w:hAnsi="Palatino Linotype"/>
        </w:rPr>
        <w:footnoteReference w:id="2"/>
      </w:r>
      <w:r w:rsidR="002024A0">
        <w:rPr>
          <w:rFonts w:ascii="Palatino Linotype" w:hAnsi="Palatino Linotype"/>
        </w:rPr>
        <w:t xml:space="preserve">, razón por la cual, nos vemos impuestos como </w:t>
      </w:r>
      <w:r w:rsidR="00F34777">
        <w:rPr>
          <w:rFonts w:ascii="Palatino Linotype" w:hAnsi="Palatino Linotype"/>
        </w:rPr>
        <w:t xml:space="preserve">Órgano Garante para vigilar </w:t>
      </w:r>
      <w:r w:rsidR="002024A0">
        <w:rPr>
          <w:rFonts w:ascii="Palatino Linotype" w:hAnsi="Palatino Linotype"/>
        </w:rPr>
        <w:t xml:space="preserve"> el correcto cumplimiento de los Sujetos Obligados tanto en sus </w:t>
      </w:r>
      <w:r w:rsidR="002024A0">
        <w:rPr>
          <w:rFonts w:ascii="Palatino Linotype" w:hAnsi="Palatino Linotype"/>
        </w:rPr>
        <w:lastRenderedPageBreak/>
        <w:t xml:space="preserve">respuestas como en sus informes justificados y, de </w:t>
      </w:r>
      <w:r w:rsidR="00F34777">
        <w:rPr>
          <w:rFonts w:ascii="Palatino Linotype" w:hAnsi="Palatino Linotype"/>
        </w:rPr>
        <w:t>ser el caso, den cabal cumplimiento a las solicitudes de información</w:t>
      </w:r>
      <w:r w:rsidR="002024A0">
        <w:rPr>
          <w:rFonts w:ascii="Palatino Linotype" w:hAnsi="Palatino Linotype"/>
        </w:rPr>
        <w:t>.</w:t>
      </w:r>
    </w:p>
    <w:p w14:paraId="73AE1AD0" w14:textId="77777777" w:rsidR="00786731" w:rsidRPr="00786731" w:rsidRDefault="00786731" w:rsidP="00786731">
      <w:pPr>
        <w:spacing w:after="0" w:line="360" w:lineRule="auto"/>
        <w:contextualSpacing/>
        <w:jc w:val="both"/>
        <w:rPr>
          <w:rFonts w:ascii="Palatino Linotype" w:eastAsia="Calibri" w:hAnsi="Palatino Linotype" w:cs="Arial"/>
          <w:sz w:val="24"/>
          <w:szCs w:val="24"/>
        </w:rPr>
      </w:pPr>
    </w:p>
    <w:p w14:paraId="6678C390" w14:textId="3B3AFC59" w:rsidR="00786731" w:rsidRPr="00B87109" w:rsidRDefault="00786731" w:rsidP="00B87109">
      <w:pPr>
        <w:numPr>
          <w:ilvl w:val="0"/>
          <w:numId w:val="8"/>
        </w:numPr>
        <w:spacing w:after="0" w:line="360" w:lineRule="auto"/>
        <w:ind w:left="0" w:firstLine="0"/>
        <w:contextualSpacing/>
        <w:jc w:val="both"/>
        <w:rPr>
          <w:rFonts w:ascii="Palatino Linotype" w:eastAsia="Calibri" w:hAnsi="Palatino Linotype" w:cs="Arial"/>
          <w:sz w:val="24"/>
          <w:szCs w:val="24"/>
        </w:rPr>
      </w:pPr>
      <w:r w:rsidRPr="00786731">
        <w:rPr>
          <w:rFonts w:ascii="Palatino Linotype" w:hAnsi="Palatino Linotype" w:cs="Arial"/>
          <w:bCs/>
          <w:color w:val="000000" w:themeColor="text1"/>
          <w:sz w:val="24"/>
          <w:szCs w:val="24"/>
        </w:rPr>
        <w:t>En efecto, el derecho fundamental de acceso a la información pública se desarrolla en varias vertientes:</w:t>
      </w:r>
    </w:p>
    <w:p w14:paraId="41F367EB" w14:textId="77777777" w:rsidR="00786731" w:rsidRPr="00B87109" w:rsidRDefault="00786731" w:rsidP="00786731">
      <w:pPr>
        <w:pStyle w:val="Prrafodelista"/>
        <w:numPr>
          <w:ilvl w:val="0"/>
          <w:numId w:val="24"/>
        </w:numPr>
        <w:autoSpaceDE w:val="0"/>
        <w:autoSpaceDN w:val="0"/>
        <w:adjustRightInd w:val="0"/>
        <w:spacing w:before="240" w:after="240" w:line="360" w:lineRule="auto"/>
        <w:ind w:left="567" w:right="616" w:hanging="141"/>
        <w:jc w:val="both"/>
        <w:rPr>
          <w:rFonts w:ascii="Palatino Linotype" w:hAnsi="Palatino Linotype" w:cs="Arial"/>
          <w:bCs/>
          <w:color w:val="000000" w:themeColor="text1"/>
          <w:szCs w:val="24"/>
        </w:rPr>
      </w:pPr>
      <w:r w:rsidRPr="00B87109">
        <w:rPr>
          <w:rFonts w:ascii="Palatino Linotype" w:hAnsi="Palatino Linotype" w:cs="Arial"/>
          <w:bCs/>
          <w:color w:val="000000" w:themeColor="text1"/>
          <w:szCs w:val="24"/>
        </w:rPr>
        <w:t>Impone al Estado la obligación de protegerlo. Esto es, es suficiente con que una persona realice una solicitud de información para que la autoridad la atienda y entregue lo solicitado, salvo excepciones limitadas.</w:t>
      </w:r>
    </w:p>
    <w:p w14:paraId="31E67ED5" w14:textId="77777777" w:rsidR="00786731" w:rsidRPr="002D376F" w:rsidRDefault="00786731" w:rsidP="00786731">
      <w:pPr>
        <w:pStyle w:val="Prrafodelista"/>
        <w:numPr>
          <w:ilvl w:val="0"/>
          <w:numId w:val="24"/>
        </w:numPr>
        <w:autoSpaceDE w:val="0"/>
        <w:autoSpaceDN w:val="0"/>
        <w:adjustRightInd w:val="0"/>
        <w:spacing w:before="240" w:after="240" w:line="360" w:lineRule="auto"/>
        <w:ind w:left="567" w:right="616" w:hanging="141"/>
        <w:jc w:val="both"/>
        <w:rPr>
          <w:rFonts w:ascii="Palatino Linotype" w:hAnsi="Palatino Linotype" w:cs="Arial"/>
          <w:bCs/>
          <w:color w:val="000000" w:themeColor="text1"/>
          <w:szCs w:val="24"/>
        </w:rPr>
      </w:pPr>
      <w:r w:rsidRPr="002D376F">
        <w:rPr>
          <w:rFonts w:ascii="Palatino Linotype" w:hAnsi="Palatino Linotype" w:cs="Arial"/>
          <w:bCs/>
          <w:color w:val="000000" w:themeColor="text1"/>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14:paraId="729C90C3" w14:textId="77777777" w:rsidR="00786731" w:rsidRPr="002D376F" w:rsidRDefault="00786731" w:rsidP="00786731">
      <w:pPr>
        <w:pStyle w:val="Prrafodelista"/>
        <w:numPr>
          <w:ilvl w:val="0"/>
          <w:numId w:val="24"/>
        </w:numPr>
        <w:autoSpaceDE w:val="0"/>
        <w:autoSpaceDN w:val="0"/>
        <w:adjustRightInd w:val="0"/>
        <w:spacing w:before="240" w:after="240" w:line="360" w:lineRule="auto"/>
        <w:ind w:left="567" w:right="616" w:hanging="141"/>
        <w:jc w:val="both"/>
        <w:rPr>
          <w:rFonts w:ascii="Palatino Linotype" w:hAnsi="Palatino Linotype" w:cs="Arial"/>
          <w:bCs/>
          <w:color w:val="000000" w:themeColor="text1"/>
          <w:szCs w:val="24"/>
        </w:rPr>
      </w:pPr>
      <w:r w:rsidRPr="002D376F">
        <w:rPr>
          <w:rFonts w:ascii="Palatino Linotype" w:hAnsi="Palatino Linotype" w:cs="Arial"/>
          <w:bCs/>
          <w:color w:val="000000" w:themeColor="text1"/>
          <w:szCs w:val="24"/>
        </w:rPr>
        <w:t>Otorga a todos los documentos en posesión de las autoridades la calidad de públicos y únicamente pueden ser reservados temporalmente por razones de interés público y en los términos expresamente señalados en la ley.</w:t>
      </w:r>
    </w:p>
    <w:p w14:paraId="7B6A6B71" w14:textId="77777777" w:rsidR="00786731" w:rsidRPr="002D376F" w:rsidRDefault="00786731" w:rsidP="00786731">
      <w:pPr>
        <w:pStyle w:val="Prrafodelista"/>
        <w:numPr>
          <w:ilvl w:val="0"/>
          <w:numId w:val="24"/>
        </w:numPr>
        <w:autoSpaceDE w:val="0"/>
        <w:autoSpaceDN w:val="0"/>
        <w:adjustRightInd w:val="0"/>
        <w:spacing w:before="240" w:after="240" w:line="360" w:lineRule="auto"/>
        <w:ind w:left="567" w:right="616" w:hanging="141"/>
        <w:jc w:val="both"/>
        <w:rPr>
          <w:rFonts w:ascii="Palatino Linotype" w:hAnsi="Palatino Linotype" w:cs="Arial"/>
          <w:bCs/>
          <w:color w:val="000000" w:themeColor="text1"/>
          <w:szCs w:val="24"/>
        </w:rPr>
      </w:pPr>
      <w:r w:rsidRPr="002D376F">
        <w:rPr>
          <w:rFonts w:ascii="Palatino Linotype" w:hAnsi="Palatino Linotype" w:cs="Arial"/>
          <w:bCs/>
          <w:color w:val="000000" w:themeColor="text1"/>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14:paraId="3CA8CFC1" w14:textId="77777777" w:rsidR="00786731" w:rsidRPr="002D376F" w:rsidRDefault="00786731" w:rsidP="00786731">
      <w:pPr>
        <w:pStyle w:val="Prrafodelista"/>
        <w:numPr>
          <w:ilvl w:val="0"/>
          <w:numId w:val="24"/>
        </w:numPr>
        <w:autoSpaceDE w:val="0"/>
        <w:autoSpaceDN w:val="0"/>
        <w:adjustRightInd w:val="0"/>
        <w:spacing w:before="240" w:after="240" w:line="360" w:lineRule="auto"/>
        <w:ind w:left="567" w:right="616" w:hanging="141"/>
        <w:jc w:val="both"/>
        <w:rPr>
          <w:rFonts w:ascii="Palatino Linotype" w:hAnsi="Palatino Linotype" w:cs="Arial"/>
          <w:bCs/>
          <w:color w:val="000000" w:themeColor="text1"/>
          <w:szCs w:val="24"/>
        </w:rPr>
      </w:pPr>
      <w:r w:rsidRPr="002D376F">
        <w:rPr>
          <w:rFonts w:ascii="Palatino Linotype" w:hAnsi="Palatino Linotype" w:cs="Arial"/>
          <w:bCs/>
          <w:color w:val="000000" w:themeColor="text1"/>
          <w:szCs w:val="24"/>
        </w:rPr>
        <w:t>Impone al Legislativo la obligación de crear una ley que establezca los procedimientos para su protección, respeto y difusión.</w:t>
      </w:r>
    </w:p>
    <w:p w14:paraId="3336E2C6" w14:textId="77777777" w:rsidR="00786731" w:rsidRDefault="00786731" w:rsidP="00786731">
      <w:pPr>
        <w:pStyle w:val="Prrafodelista"/>
        <w:numPr>
          <w:ilvl w:val="0"/>
          <w:numId w:val="24"/>
        </w:numPr>
        <w:autoSpaceDE w:val="0"/>
        <w:autoSpaceDN w:val="0"/>
        <w:adjustRightInd w:val="0"/>
        <w:spacing w:before="240" w:after="240" w:line="360" w:lineRule="auto"/>
        <w:ind w:left="567" w:right="616" w:hanging="141"/>
        <w:jc w:val="both"/>
        <w:rPr>
          <w:rFonts w:ascii="Palatino Linotype" w:hAnsi="Palatino Linotype" w:cs="Arial"/>
          <w:bCs/>
          <w:color w:val="000000" w:themeColor="text1"/>
          <w:szCs w:val="24"/>
        </w:rPr>
      </w:pPr>
      <w:r w:rsidRPr="002D376F">
        <w:rPr>
          <w:rFonts w:ascii="Palatino Linotype" w:hAnsi="Palatino Linotype" w:cs="Arial"/>
          <w:bCs/>
          <w:color w:val="000000" w:themeColor="text1"/>
          <w:szCs w:val="24"/>
        </w:rPr>
        <w:t>Impone el</w:t>
      </w:r>
      <w:r w:rsidRPr="002D376F">
        <w:rPr>
          <w:rFonts w:ascii="Palatino Linotype" w:hAnsi="Palatino Linotype"/>
          <w:bCs/>
          <w:color w:val="000000" w:themeColor="text1"/>
          <w:szCs w:val="24"/>
        </w:rPr>
        <w:t xml:space="preserve"> </w:t>
      </w:r>
      <w:hyperlink r:id="rId10" w:tooltip="Derechos civiles y políticos" w:history="1">
        <w:r w:rsidRPr="002D376F">
          <w:rPr>
            <w:rFonts w:ascii="Palatino Linotype" w:hAnsi="Palatino Linotype"/>
            <w:bCs/>
            <w:color w:val="000000" w:themeColor="text1"/>
            <w:szCs w:val="24"/>
          </w:rPr>
          <w:t>derecho</w:t>
        </w:r>
      </w:hyperlink>
      <w:r w:rsidRPr="002D376F">
        <w:rPr>
          <w:rFonts w:ascii="Palatino Linotype" w:hAnsi="Palatino Linotype"/>
          <w:bCs/>
          <w:color w:val="000000" w:themeColor="text1"/>
          <w:szCs w:val="24"/>
        </w:rPr>
        <w:t xml:space="preserve"> </w:t>
      </w:r>
      <w:r w:rsidRPr="002D376F">
        <w:rPr>
          <w:rFonts w:ascii="Palatino Linotype" w:hAnsi="Palatino Linotype" w:cs="Arial"/>
          <w:bCs/>
          <w:color w:val="000000" w:themeColor="text1"/>
          <w:szCs w:val="24"/>
        </w:rPr>
        <w:t xml:space="preserve">de una persona de buscar, </w:t>
      </w:r>
      <w:r w:rsidRPr="002D376F">
        <w:rPr>
          <w:rFonts w:ascii="Palatino Linotype" w:hAnsi="Palatino Linotype" w:cs="Arial"/>
          <w:b/>
          <w:bCs/>
          <w:color w:val="000000" w:themeColor="text1"/>
          <w:szCs w:val="24"/>
          <w:u w:val="single"/>
        </w:rPr>
        <w:t xml:space="preserve">recibir </w:t>
      </w:r>
      <w:r w:rsidRPr="002D376F">
        <w:rPr>
          <w:rFonts w:ascii="Palatino Linotype" w:hAnsi="Palatino Linotype" w:cs="Arial"/>
          <w:bCs/>
          <w:color w:val="000000" w:themeColor="text1"/>
          <w:szCs w:val="24"/>
        </w:rPr>
        <w:t>y difundir información en poder del gobierno u administraciones públicas.</w:t>
      </w:r>
    </w:p>
    <w:p w14:paraId="5BA6A097" w14:textId="77777777" w:rsidR="00786731" w:rsidRPr="00291A41" w:rsidRDefault="00786731" w:rsidP="00786731">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Cs w:val="24"/>
        </w:rPr>
      </w:pPr>
    </w:p>
    <w:p w14:paraId="226BB8D1" w14:textId="77777777" w:rsidR="00786731" w:rsidRDefault="00786731" w:rsidP="00786731">
      <w:pPr>
        <w:pStyle w:val="Prrafodelista"/>
        <w:numPr>
          <w:ilvl w:val="0"/>
          <w:numId w:val="8"/>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Por tanto, para que</w:t>
      </w:r>
      <w:r>
        <w:rPr>
          <w:rFonts w:ascii="Palatino Linotype" w:hAnsi="Palatino Linotype" w:cs="Arial"/>
          <w:sz w:val="24"/>
          <w:szCs w:val="24"/>
        </w:rPr>
        <w:t xml:space="preserve"> tanto este </w:t>
      </w:r>
      <w:r>
        <w:rPr>
          <w:rFonts w:ascii="Palatino Linotype" w:hAnsi="Palatino Linotype" w:cs="Arial"/>
          <w:b/>
          <w:sz w:val="24"/>
          <w:szCs w:val="24"/>
        </w:rPr>
        <w:t xml:space="preserve">Órgano Garante </w:t>
      </w:r>
      <w:r>
        <w:rPr>
          <w:rFonts w:ascii="Palatino Linotype" w:hAnsi="Palatino Linotype" w:cs="Arial"/>
          <w:sz w:val="24"/>
          <w:szCs w:val="24"/>
        </w:rPr>
        <w:t>como</w:t>
      </w:r>
      <w:r w:rsidRPr="00427B79">
        <w:rPr>
          <w:rFonts w:ascii="Palatino Linotype" w:hAnsi="Palatino Linotype" w:cs="Arial"/>
          <w:sz w:val="24"/>
          <w:szCs w:val="24"/>
        </w:rPr>
        <w:t xml:space="preserv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información que generen, administren o posean, deben poner a disposición de los particulares los documentos en los que conste el ejercicio de sus atribuciones legales o que por cualquier circunstancia obre en sus archivos.</w:t>
      </w:r>
    </w:p>
    <w:p w14:paraId="199DFC59" w14:textId="77777777" w:rsidR="00786731" w:rsidRDefault="00786731" w:rsidP="00786731">
      <w:pPr>
        <w:pStyle w:val="Prrafodelista"/>
        <w:spacing w:before="240" w:after="240" w:line="360" w:lineRule="auto"/>
        <w:ind w:left="0"/>
        <w:jc w:val="both"/>
        <w:rPr>
          <w:rFonts w:ascii="Palatino Linotype" w:hAnsi="Palatino Linotype" w:cs="Arial"/>
          <w:sz w:val="24"/>
          <w:szCs w:val="24"/>
        </w:rPr>
      </w:pPr>
    </w:p>
    <w:p w14:paraId="5CE6B4AD" w14:textId="77777777" w:rsidR="00786731" w:rsidRPr="00427B79" w:rsidRDefault="00786731" w:rsidP="00786731">
      <w:pPr>
        <w:pStyle w:val="Prrafodelista"/>
        <w:numPr>
          <w:ilvl w:val="0"/>
          <w:numId w:val="8"/>
        </w:numPr>
        <w:spacing w:after="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14:paraId="19AE4297" w14:textId="77777777" w:rsidR="00786731" w:rsidRPr="00614B7C" w:rsidRDefault="00786731" w:rsidP="00786731">
      <w:pPr>
        <w:pStyle w:val="Prrafodelista"/>
        <w:spacing w:before="240" w:after="240" w:line="360" w:lineRule="auto"/>
        <w:ind w:left="0"/>
        <w:jc w:val="both"/>
        <w:rPr>
          <w:rFonts w:ascii="Palatino Linotype" w:hAnsi="Palatino Linotype" w:cs="Arial"/>
          <w:sz w:val="24"/>
          <w:szCs w:val="24"/>
        </w:rPr>
      </w:pPr>
    </w:p>
    <w:p w14:paraId="4D3D6A5B" w14:textId="77777777" w:rsidR="00786731" w:rsidRPr="00427B79" w:rsidRDefault="00786731" w:rsidP="00786731">
      <w:pPr>
        <w:pStyle w:val="Prrafodelista"/>
        <w:numPr>
          <w:ilvl w:val="0"/>
          <w:numId w:val="8"/>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14:paraId="4825F42F" w14:textId="77777777" w:rsidR="00786731" w:rsidRPr="00427B79" w:rsidRDefault="00786731" w:rsidP="00786731">
      <w:pPr>
        <w:pStyle w:val="Prrafodelista"/>
        <w:spacing w:before="240" w:after="240" w:line="360" w:lineRule="auto"/>
        <w:ind w:left="0"/>
        <w:jc w:val="both"/>
        <w:rPr>
          <w:rFonts w:ascii="Palatino Linotype" w:hAnsi="Palatino Linotype" w:cs="Arial"/>
          <w:sz w:val="24"/>
          <w:szCs w:val="24"/>
        </w:rPr>
      </w:pPr>
    </w:p>
    <w:p w14:paraId="4735B462" w14:textId="3105CA5A" w:rsidR="00786731" w:rsidRPr="00786731" w:rsidRDefault="00786731" w:rsidP="00786731">
      <w:pPr>
        <w:pStyle w:val="Prrafodelista"/>
        <w:numPr>
          <w:ilvl w:val="0"/>
          <w:numId w:val="8"/>
        </w:numPr>
        <w:spacing w:before="240" w:after="240" w:line="360" w:lineRule="auto"/>
        <w:ind w:left="0" w:firstLine="0"/>
        <w:jc w:val="both"/>
        <w:rPr>
          <w:rFonts w:ascii="Palatino Linotype" w:hAnsi="Palatino Linotype" w:cs="Arial"/>
          <w:sz w:val="24"/>
          <w:szCs w:val="24"/>
        </w:rPr>
      </w:pPr>
      <w:r>
        <w:rPr>
          <w:rFonts w:ascii="Palatino Linotype" w:hAnsi="Palatino Linotype"/>
          <w:sz w:val="24"/>
          <w:szCs w:val="24"/>
        </w:rPr>
        <w:t xml:space="preserve">En ese sentido, </w:t>
      </w:r>
      <w:r w:rsidRPr="00585D51">
        <w:rPr>
          <w:rFonts w:ascii="Palatino Linotype" w:hAnsi="Palatino Linotype"/>
          <w:sz w:val="24"/>
          <w:szCs w:val="24"/>
        </w:rPr>
        <w:t xml:space="preserve">el principio de rendición de cuentas y la transparencia encuentran un objetivo en común, buscar conciliar el interés colectivo con el interés </w:t>
      </w:r>
      <w:r w:rsidRPr="00585D51">
        <w:rPr>
          <w:rFonts w:ascii="Palatino Linotype" w:hAnsi="Palatino Linotype"/>
          <w:sz w:val="24"/>
          <w:szCs w:val="24"/>
        </w:rPr>
        <w:lastRenderedPageBreak/>
        <w:t>particular de los gobernantes, es decir, si todos los que dispongan de algún poder público saben que pueden ser llamados a cuentas, que su acción política, su desempeño gubernamental</w:t>
      </w:r>
      <w:r>
        <w:rPr>
          <w:rFonts w:ascii="Palatino Linotype" w:hAnsi="Palatino Linotype"/>
          <w:sz w:val="24"/>
          <w:szCs w:val="24"/>
        </w:rPr>
        <w:t>, el ejercicio de sus funciones</w:t>
      </w:r>
      <w:r w:rsidRPr="00585D51">
        <w:rPr>
          <w:rFonts w:ascii="Palatino Linotype" w:hAnsi="Palatino Linotype"/>
          <w:sz w:val="24"/>
          <w:szCs w:val="24"/>
        </w:rPr>
        <w:t xml:space="preserve"> y sus decisiones </w:t>
      </w:r>
      <w:r>
        <w:rPr>
          <w:rFonts w:ascii="Palatino Linotype" w:hAnsi="Palatino Linotype"/>
          <w:sz w:val="24"/>
          <w:szCs w:val="24"/>
        </w:rPr>
        <w:t xml:space="preserve">generan  </w:t>
      </w:r>
      <w:r w:rsidRPr="00585D51">
        <w:rPr>
          <w:rFonts w:ascii="Palatino Linotype" w:hAnsi="Palatino Linotype"/>
          <w:sz w:val="24"/>
          <w:szCs w:val="24"/>
        </w:rPr>
        <w:t xml:space="preserve">efectos positivos o negativos, tendrán mayor diligencia al </w:t>
      </w:r>
      <w:r>
        <w:rPr>
          <w:rFonts w:ascii="Palatino Linotype" w:hAnsi="Palatino Linotype"/>
          <w:sz w:val="24"/>
          <w:szCs w:val="24"/>
        </w:rPr>
        <w:t>ejercer el poder.</w:t>
      </w:r>
    </w:p>
    <w:p w14:paraId="5861E44D" w14:textId="4C566B54" w:rsidR="009B0061" w:rsidRDefault="00786731" w:rsidP="009B0061">
      <w:pPr>
        <w:numPr>
          <w:ilvl w:val="0"/>
          <w:numId w:val="8"/>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Expuesto lo anterior</w:t>
      </w:r>
      <w:r w:rsidR="002024A0" w:rsidRPr="009B0061">
        <w:rPr>
          <w:rFonts w:ascii="Palatino Linotype" w:eastAsia="Calibri" w:hAnsi="Palatino Linotype" w:cs="Arial"/>
          <w:sz w:val="24"/>
          <w:szCs w:val="24"/>
        </w:rPr>
        <w:t>, considero firmemente,</w:t>
      </w:r>
      <w:r w:rsidR="00F34777" w:rsidRPr="009B0061">
        <w:rPr>
          <w:rFonts w:ascii="Palatino Linotype" w:eastAsia="Calibri" w:hAnsi="Palatino Linotype" w:cs="Arial"/>
          <w:sz w:val="24"/>
          <w:szCs w:val="24"/>
        </w:rPr>
        <w:t xml:space="preserve"> que</w:t>
      </w:r>
      <w:r w:rsidR="002024A0" w:rsidRPr="009B0061">
        <w:rPr>
          <w:rFonts w:ascii="Palatino Linotype" w:eastAsia="Calibri" w:hAnsi="Palatino Linotype" w:cs="Arial"/>
          <w:sz w:val="24"/>
          <w:szCs w:val="24"/>
        </w:rPr>
        <w:t xml:space="preserve"> la respuesta del Sujeto Obligado no fue la idónea para dejar por satisfecho lo requeri</w:t>
      </w:r>
      <w:r>
        <w:rPr>
          <w:rFonts w:ascii="Palatino Linotype" w:eastAsia="Calibri" w:hAnsi="Palatino Linotype" w:cs="Arial"/>
          <w:sz w:val="24"/>
          <w:szCs w:val="24"/>
        </w:rPr>
        <w:t xml:space="preserve">do por el particular, toda vez </w:t>
      </w:r>
      <w:r w:rsidR="002024A0" w:rsidRPr="009B0061">
        <w:rPr>
          <w:rFonts w:ascii="Palatino Linotype" w:eastAsia="Calibri" w:hAnsi="Palatino Linotype" w:cs="Arial"/>
          <w:sz w:val="24"/>
          <w:szCs w:val="24"/>
        </w:rPr>
        <w:t xml:space="preserve">que, </w:t>
      </w:r>
      <w:r w:rsidR="009B0061">
        <w:rPr>
          <w:rFonts w:ascii="Palatino Linotype" w:eastAsia="Calibri" w:hAnsi="Palatino Linotype" w:cs="Arial"/>
          <w:sz w:val="24"/>
          <w:szCs w:val="24"/>
        </w:rPr>
        <w:t>la información requerida se</w:t>
      </w:r>
      <w:r w:rsidR="009B0061" w:rsidRPr="009B0061">
        <w:rPr>
          <w:rFonts w:ascii="Palatino Linotype" w:eastAsia="Calibri" w:hAnsi="Palatino Linotype" w:cs="Arial"/>
          <w:sz w:val="24"/>
          <w:szCs w:val="24"/>
        </w:rPr>
        <w:t xml:space="preserve"> pudiera encontrar en posesión del </w:t>
      </w:r>
      <w:r w:rsidR="009B0061" w:rsidRPr="009B0061">
        <w:rPr>
          <w:rFonts w:ascii="Palatino Linotype" w:eastAsia="Calibri" w:hAnsi="Palatino Linotype" w:cs="Arial"/>
          <w:b/>
          <w:sz w:val="24"/>
          <w:szCs w:val="24"/>
        </w:rPr>
        <w:t xml:space="preserve">SUJETO OBLIGADO. </w:t>
      </w:r>
    </w:p>
    <w:p w14:paraId="56CCF6B7" w14:textId="77777777" w:rsidR="009B0061" w:rsidRPr="009B0061" w:rsidRDefault="009B0061" w:rsidP="009B0061">
      <w:pPr>
        <w:spacing w:after="0" w:line="360" w:lineRule="auto"/>
        <w:contextualSpacing/>
        <w:jc w:val="both"/>
        <w:rPr>
          <w:rFonts w:ascii="Palatino Linotype" w:eastAsia="Calibri" w:hAnsi="Palatino Linotype" w:cs="Arial"/>
          <w:sz w:val="24"/>
          <w:szCs w:val="24"/>
        </w:rPr>
      </w:pPr>
    </w:p>
    <w:p w14:paraId="4BC7D2EA" w14:textId="4FD76250" w:rsidR="00786731" w:rsidRPr="00786731" w:rsidRDefault="00786731" w:rsidP="00786731">
      <w:pPr>
        <w:numPr>
          <w:ilvl w:val="0"/>
          <w:numId w:val="8"/>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Así las cosas, </w:t>
      </w:r>
      <w:r w:rsidR="009B0061" w:rsidRPr="009B0061">
        <w:rPr>
          <w:rFonts w:ascii="Palatino Linotype" w:eastAsia="Calibri" w:hAnsi="Palatino Linotype" w:cs="Arial"/>
          <w:sz w:val="24"/>
          <w:szCs w:val="24"/>
        </w:rPr>
        <w:t>fundamentar y motivar un acto</w:t>
      </w:r>
      <w:r w:rsidR="002024A0" w:rsidRPr="009B0061">
        <w:rPr>
          <w:rFonts w:ascii="Palatino Linotype" w:eastAsia="Calibri" w:hAnsi="Palatino Linotype" w:cs="Arial"/>
          <w:sz w:val="24"/>
          <w:szCs w:val="24"/>
        </w:rPr>
        <w:t xml:space="preserve"> es </w:t>
      </w:r>
      <w:r w:rsidR="009B0061" w:rsidRPr="009B0061">
        <w:rPr>
          <w:rFonts w:ascii="Palatino Linotype" w:eastAsia="Calibri" w:hAnsi="Palatino Linotype" w:cs="Arial"/>
          <w:sz w:val="24"/>
          <w:szCs w:val="24"/>
        </w:rPr>
        <w:t xml:space="preserve">de suma importancia </w:t>
      </w:r>
      <w:r w:rsidR="002024A0" w:rsidRPr="009B0061">
        <w:rPr>
          <w:rFonts w:ascii="Palatino Linotype" w:eastAsia="Calibri" w:hAnsi="Palatino Linotype" w:cs="Arial"/>
          <w:sz w:val="24"/>
          <w:szCs w:val="24"/>
        </w:rPr>
        <w:t xml:space="preserve"> para dar certidumbre jurídica de que se actu</w:t>
      </w:r>
      <w:r w:rsidR="00411624" w:rsidRPr="009B0061">
        <w:rPr>
          <w:rFonts w:ascii="Palatino Linotype" w:eastAsia="Calibri" w:hAnsi="Palatino Linotype" w:cs="Arial"/>
          <w:sz w:val="24"/>
          <w:szCs w:val="24"/>
        </w:rPr>
        <w:t>ó</w:t>
      </w:r>
      <w:r w:rsidR="009B0061" w:rsidRPr="009B0061">
        <w:rPr>
          <w:rFonts w:ascii="Palatino Linotype" w:eastAsia="Calibri" w:hAnsi="Palatino Linotype" w:cs="Arial"/>
          <w:sz w:val="24"/>
          <w:szCs w:val="24"/>
        </w:rPr>
        <w:t xml:space="preserve"> conforme a derecho, situación que en el presente caso no se observa</w:t>
      </w:r>
      <w:r>
        <w:rPr>
          <w:rFonts w:ascii="Palatino Linotype" w:eastAsia="Calibri" w:hAnsi="Palatino Linotype" w:cs="Arial"/>
          <w:sz w:val="24"/>
          <w:szCs w:val="24"/>
        </w:rPr>
        <w:t xml:space="preserve">, en efecto, </w:t>
      </w:r>
      <w:r w:rsidRPr="00786731">
        <w:rPr>
          <w:rFonts w:ascii="Palatino Linotype" w:eastAsia="Calibri" w:hAnsi="Palatino Linotype" w:cs="Arial"/>
          <w:sz w:val="24"/>
          <w:szCs w:val="24"/>
        </w:rPr>
        <w:t xml:space="preserve">la fundamentación y motivación es una obligación inherente y fundamental de todas las autoridades independientemente del grado jerárquico con el que cuenten, para lo cual es importante hacer mención lo que el </w:t>
      </w:r>
      <w:r w:rsidRPr="00786731">
        <w:rPr>
          <w:rFonts w:ascii="Palatino Linotype" w:eastAsia="Calibri" w:hAnsi="Palatino Linotype" w:cs="Arial"/>
          <w:sz w:val="24"/>
          <w:szCs w:val="24"/>
          <w:lang w:val="es-ES_tradnl"/>
        </w:rPr>
        <w:t>intérprete judicial del país ha establecido en una jurisprudencia respecto a qué debe entenderse por fundamentación y motivación, en los siguientes términos:</w:t>
      </w:r>
    </w:p>
    <w:p w14:paraId="4BF33EBD" w14:textId="77777777" w:rsidR="00786731" w:rsidRPr="00786731" w:rsidRDefault="00786731" w:rsidP="00786731">
      <w:pPr>
        <w:spacing w:after="0" w:line="360" w:lineRule="auto"/>
        <w:contextualSpacing/>
        <w:jc w:val="both"/>
        <w:rPr>
          <w:rFonts w:ascii="Palatino Linotype" w:eastAsia="Calibri" w:hAnsi="Palatino Linotype" w:cs="Arial"/>
          <w:sz w:val="24"/>
          <w:szCs w:val="24"/>
          <w:lang w:val="es-ES_tradnl"/>
        </w:rPr>
      </w:pPr>
    </w:p>
    <w:p w14:paraId="4DBAA96F" w14:textId="77777777" w:rsidR="00786731" w:rsidRPr="00786731" w:rsidRDefault="00786731" w:rsidP="00786731">
      <w:pPr>
        <w:tabs>
          <w:tab w:val="left" w:pos="567"/>
        </w:tabs>
        <w:spacing w:after="0" w:line="360" w:lineRule="auto"/>
        <w:ind w:left="567" w:right="616"/>
        <w:contextualSpacing/>
        <w:jc w:val="both"/>
        <w:rPr>
          <w:rFonts w:ascii="Palatino Linotype" w:eastAsia="Calibri" w:hAnsi="Palatino Linotype" w:cs="Arial"/>
          <w:i/>
          <w:sz w:val="24"/>
          <w:szCs w:val="24"/>
          <w:lang w:val="es-ES_tradnl"/>
        </w:rPr>
      </w:pPr>
      <w:r w:rsidRPr="00786731">
        <w:rPr>
          <w:rFonts w:ascii="Palatino Linotype" w:eastAsia="Calibri" w:hAnsi="Palatino Linotype" w:cs="Arial"/>
          <w:b/>
          <w:i/>
          <w:sz w:val="24"/>
          <w:szCs w:val="24"/>
          <w:lang w:val="es-ES_tradnl"/>
        </w:rPr>
        <w:t>“FUNDAMENTACIÓN Y MOTIVACIÓN.</w:t>
      </w:r>
      <w:r w:rsidRPr="00786731">
        <w:rPr>
          <w:rFonts w:ascii="Palatino Linotype" w:eastAsia="Calibri" w:hAnsi="Palatino Linotype" w:cs="Arial"/>
          <w:i/>
          <w:sz w:val="24"/>
          <w:szCs w:val="24"/>
          <w:lang w:val="es-ES_tradnl"/>
        </w:rPr>
        <w:t xml:space="preserve"> </w:t>
      </w:r>
      <w:r w:rsidRPr="00786731">
        <w:rPr>
          <w:rFonts w:ascii="Palatino Linotype" w:eastAsia="Calibri" w:hAnsi="Palatino Linotype" w:cs="Arial"/>
          <w:i/>
          <w:sz w:val="24"/>
          <w:szCs w:val="24"/>
          <w:u w:val="single"/>
          <w:lang w:val="es-ES_tradnl"/>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786731">
        <w:rPr>
          <w:rFonts w:ascii="Palatino Linotype" w:eastAsia="Calibri" w:hAnsi="Palatino Linotype" w:cs="Arial"/>
          <w:i/>
          <w:sz w:val="24"/>
          <w:szCs w:val="24"/>
          <w:lang w:val="es-ES_tradnl"/>
        </w:rPr>
        <w:t>.</w:t>
      </w:r>
    </w:p>
    <w:p w14:paraId="0D02D9D3" w14:textId="77777777" w:rsidR="00786731" w:rsidRPr="00786731" w:rsidRDefault="00786731" w:rsidP="00786731">
      <w:pPr>
        <w:tabs>
          <w:tab w:val="left" w:pos="567"/>
        </w:tabs>
        <w:spacing w:after="0" w:line="360" w:lineRule="auto"/>
        <w:ind w:left="567" w:right="616"/>
        <w:contextualSpacing/>
        <w:jc w:val="both"/>
        <w:rPr>
          <w:rFonts w:ascii="Palatino Linotype" w:eastAsia="Calibri" w:hAnsi="Palatino Linotype" w:cs="Arial"/>
          <w:i/>
          <w:sz w:val="24"/>
          <w:szCs w:val="24"/>
          <w:lang w:val="es-ES_tradnl"/>
        </w:rPr>
      </w:pPr>
      <w:r w:rsidRPr="00786731">
        <w:rPr>
          <w:rFonts w:ascii="Palatino Linotype" w:eastAsia="Calibri" w:hAnsi="Palatino Linotype" w:cs="Arial"/>
          <w:i/>
          <w:sz w:val="24"/>
          <w:szCs w:val="24"/>
          <w:lang w:val="es-ES_tradnl"/>
        </w:rPr>
        <w:lastRenderedPageBreak/>
        <w:t>SEGUNDO TRIBUNAL COLEGIADO DEL SEXTO CIRCUITO.</w:t>
      </w:r>
    </w:p>
    <w:p w14:paraId="416B269B" w14:textId="77777777" w:rsidR="00786731" w:rsidRPr="00786731" w:rsidRDefault="00786731" w:rsidP="00786731">
      <w:pPr>
        <w:tabs>
          <w:tab w:val="left" w:pos="567"/>
        </w:tabs>
        <w:spacing w:after="0" w:line="360" w:lineRule="auto"/>
        <w:ind w:left="567" w:right="616"/>
        <w:contextualSpacing/>
        <w:jc w:val="both"/>
        <w:rPr>
          <w:rFonts w:ascii="Palatino Linotype" w:eastAsia="Calibri" w:hAnsi="Palatino Linotype" w:cs="Arial"/>
          <w:i/>
          <w:sz w:val="24"/>
          <w:szCs w:val="24"/>
          <w:lang w:val="es-ES_tradnl"/>
        </w:rPr>
      </w:pPr>
      <w:r w:rsidRPr="00786731">
        <w:rPr>
          <w:rFonts w:ascii="Palatino Linotype" w:eastAsia="Calibri" w:hAnsi="Palatino Linotype" w:cs="Arial"/>
          <w:i/>
          <w:sz w:val="24"/>
          <w:szCs w:val="24"/>
          <w:lang w:val="es-ES_tradnl"/>
        </w:rPr>
        <w:t>Amparo directo 194/88. Bufete Industrial Construcciones, S.A. de C.V. 28 de junio de 1988. Unanimidad de votos. Ponente: Gustavo Calvillo Rangel. Secretario: Jorge Alberto González Álvarez.</w:t>
      </w:r>
    </w:p>
    <w:p w14:paraId="46B4CF91" w14:textId="77777777" w:rsidR="00786731" w:rsidRPr="00786731" w:rsidRDefault="00786731" w:rsidP="00786731">
      <w:pPr>
        <w:tabs>
          <w:tab w:val="left" w:pos="567"/>
        </w:tabs>
        <w:spacing w:after="0" w:line="360" w:lineRule="auto"/>
        <w:ind w:left="567" w:right="616"/>
        <w:contextualSpacing/>
        <w:jc w:val="both"/>
        <w:rPr>
          <w:rFonts w:ascii="Palatino Linotype" w:eastAsia="Calibri" w:hAnsi="Palatino Linotype" w:cs="Arial"/>
          <w:i/>
          <w:sz w:val="24"/>
          <w:szCs w:val="24"/>
          <w:lang w:val="es-ES_tradnl"/>
        </w:rPr>
      </w:pPr>
      <w:r w:rsidRPr="00786731">
        <w:rPr>
          <w:rFonts w:ascii="Palatino Linotype" w:eastAsia="Calibri" w:hAnsi="Palatino Linotype" w:cs="Arial"/>
          <w:i/>
          <w:sz w:val="24"/>
          <w:szCs w:val="24"/>
          <w:lang w:val="es-ES_tradnl"/>
        </w:rPr>
        <w:t>Amparo directo 7/96. Pedro Vicente López Miro. 21 de febrero de 1996. Unanimidad de votos. Ponente: María Eugenia Estela Martínez Cardiel. Secretario: Enrique Baigts Muñoz.”</w:t>
      </w:r>
    </w:p>
    <w:p w14:paraId="218BBD8D" w14:textId="77777777" w:rsidR="00786731" w:rsidRPr="00786731" w:rsidRDefault="00786731" w:rsidP="00786731">
      <w:pPr>
        <w:spacing w:after="0" w:line="360" w:lineRule="auto"/>
        <w:contextualSpacing/>
        <w:jc w:val="both"/>
        <w:rPr>
          <w:rFonts w:ascii="Palatino Linotype" w:eastAsia="Calibri" w:hAnsi="Palatino Linotype" w:cs="Arial"/>
          <w:sz w:val="24"/>
          <w:szCs w:val="24"/>
          <w:lang w:val="es-ES"/>
        </w:rPr>
      </w:pPr>
    </w:p>
    <w:p w14:paraId="08F395D4" w14:textId="77777777" w:rsidR="00786731" w:rsidRPr="00786731" w:rsidRDefault="00786731" w:rsidP="00786731">
      <w:pPr>
        <w:numPr>
          <w:ilvl w:val="0"/>
          <w:numId w:val="8"/>
        </w:numPr>
        <w:spacing w:after="0" w:line="360" w:lineRule="auto"/>
        <w:ind w:left="0" w:firstLine="0"/>
        <w:contextualSpacing/>
        <w:jc w:val="both"/>
        <w:rPr>
          <w:rFonts w:ascii="Palatino Linotype" w:eastAsia="Calibri" w:hAnsi="Palatino Linotype" w:cs="Arial"/>
          <w:sz w:val="24"/>
          <w:szCs w:val="24"/>
        </w:rPr>
      </w:pPr>
      <w:r w:rsidRPr="00786731">
        <w:rPr>
          <w:rFonts w:ascii="Palatino Linotype" w:eastAsia="Calibri" w:hAnsi="Palatino Linotype" w:cs="Arial"/>
          <w:sz w:val="24"/>
          <w:szCs w:val="24"/>
        </w:rPr>
        <w:t xml:space="preserve">Así </w:t>
      </w:r>
      <w:r w:rsidRPr="00786731">
        <w:rPr>
          <w:rFonts w:ascii="Palatino Linotype" w:eastAsia="Calibri" w:hAnsi="Palatino Linotype" w:cs="Arial"/>
          <w:sz w:val="24"/>
          <w:szCs w:val="24"/>
          <w:lang w:val="es-ES_tradnl"/>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3C7A40F" w14:textId="77777777" w:rsidR="00786731" w:rsidRPr="00786731" w:rsidRDefault="00786731" w:rsidP="00786731">
      <w:pPr>
        <w:spacing w:after="0" w:line="360" w:lineRule="auto"/>
        <w:contextualSpacing/>
        <w:jc w:val="both"/>
        <w:rPr>
          <w:rFonts w:ascii="Palatino Linotype" w:eastAsia="Calibri" w:hAnsi="Palatino Linotype" w:cs="Arial"/>
          <w:sz w:val="24"/>
          <w:szCs w:val="24"/>
        </w:rPr>
      </w:pPr>
    </w:p>
    <w:p w14:paraId="1CED9636" w14:textId="77777777" w:rsidR="00786731" w:rsidRPr="00786731" w:rsidRDefault="00786731" w:rsidP="00786731">
      <w:pPr>
        <w:numPr>
          <w:ilvl w:val="0"/>
          <w:numId w:val="8"/>
        </w:numPr>
        <w:spacing w:after="0" w:line="360" w:lineRule="auto"/>
        <w:ind w:left="0" w:firstLine="0"/>
        <w:contextualSpacing/>
        <w:jc w:val="both"/>
        <w:rPr>
          <w:rFonts w:ascii="Palatino Linotype" w:eastAsia="Calibri" w:hAnsi="Palatino Linotype" w:cs="Arial"/>
          <w:sz w:val="24"/>
          <w:szCs w:val="24"/>
        </w:rPr>
      </w:pPr>
      <w:r w:rsidRPr="00786731">
        <w:rPr>
          <w:rFonts w:ascii="Palatino Linotype" w:eastAsia="Calibri" w:hAnsi="Palatino Linotype" w:cs="Arial"/>
          <w:sz w:val="24"/>
          <w:szCs w:val="24"/>
        </w:rPr>
        <w:t>Lo anterior a razón de que si el Sujeto Obligado no genera, administra o posee la información que solicitó el particular, deberá fundar y motivar debidamente las razones o circunstancias por las que no genera, posee o administra la información precisando de manera clara, las razones que expliquen las causas por las que no se cuenta con la información requerida en el presente asunto.</w:t>
      </w:r>
    </w:p>
    <w:p w14:paraId="61A86963" w14:textId="77777777" w:rsidR="00786731" w:rsidRPr="00786731" w:rsidRDefault="00786731" w:rsidP="00786731">
      <w:pPr>
        <w:spacing w:after="0" w:line="360" w:lineRule="auto"/>
        <w:contextualSpacing/>
        <w:jc w:val="both"/>
        <w:rPr>
          <w:rFonts w:ascii="Palatino Linotype" w:eastAsia="Calibri" w:hAnsi="Palatino Linotype" w:cs="Arial"/>
          <w:sz w:val="24"/>
          <w:szCs w:val="24"/>
          <w:lang w:val="es-ES_tradnl"/>
        </w:rPr>
      </w:pPr>
    </w:p>
    <w:p w14:paraId="14DFD7A7" w14:textId="77777777" w:rsidR="00786731" w:rsidRPr="00786731" w:rsidRDefault="00786731" w:rsidP="00786731">
      <w:pPr>
        <w:numPr>
          <w:ilvl w:val="0"/>
          <w:numId w:val="8"/>
        </w:numPr>
        <w:spacing w:after="0" w:line="360" w:lineRule="auto"/>
        <w:ind w:left="0" w:firstLine="0"/>
        <w:contextualSpacing/>
        <w:jc w:val="both"/>
        <w:rPr>
          <w:rFonts w:ascii="Palatino Linotype" w:eastAsia="Calibri" w:hAnsi="Palatino Linotype" w:cs="Arial"/>
          <w:sz w:val="24"/>
          <w:szCs w:val="24"/>
        </w:rPr>
      </w:pPr>
      <w:r w:rsidRPr="00786731">
        <w:rPr>
          <w:rFonts w:ascii="Palatino Linotype" w:eastAsia="Calibri" w:hAnsi="Palatino Linotype" w:cs="Arial"/>
          <w:sz w:val="24"/>
          <w:szCs w:val="24"/>
          <w:lang w:val="es-ES_tradnl"/>
        </w:rPr>
        <w:t xml:space="preserve">Para precisar los alcances de la fundamentación y motivación a que están sujetos todos los actos de autoridad, es oportuno remitirnos al artículo 16, primer párrafo de la Constitución Política de los Estados Unidos Mexicanos, en el que se </w:t>
      </w:r>
      <w:r w:rsidRPr="00786731">
        <w:rPr>
          <w:rFonts w:ascii="Palatino Linotype" w:eastAsia="Calibri" w:hAnsi="Palatino Linotype" w:cs="Arial"/>
          <w:sz w:val="24"/>
          <w:szCs w:val="24"/>
          <w:lang w:val="es-ES_tradnl"/>
        </w:rPr>
        <w:lastRenderedPageBreak/>
        <w:t>impone a las autoridades la obligación de fundar y motivar todo acto que implique una molestia en la esfera de derecho de las personas:</w:t>
      </w:r>
    </w:p>
    <w:p w14:paraId="6A60EF97" w14:textId="77777777" w:rsidR="00786731" w:rsidRPr="00786731" w:rsidRDefault="00786731" w:rsidP="00786731">
      <w:pPr>
        <w:spacing w:after="0" w:line="360" w:lineRule="auto"/>
        <w:contextualSpacing/>
        <w:jc w:val="both"/>
        <w:rPr>
          <w:rFonts w:ascii="Palatino Linotype" w:eastAsia="Calibri" w:hAnsi="Palatino Linotype" w:cs="Arial"/>
          <w:sz w:val="24"/>
          <w:szCs w:val="24"/>
          <w:lang w:val="es-ES"/>
        </w:rPr>
      </w:pPr>
    </w:p>
    <w:p w14:paraId="23D47077" w14:textId="77777777" w:rsidR="00786731" w:rsidRPr="00786731" w:rsidRDefault="00786731" w:rsidP="00786731">
      <w:pPr>
        <w:spacing w:after="0" w:line="360" w:lineRule="auto"/>
        <w:ind w:left="567" w:right="616"/>
        <w:contextualSpacing/>
        <w:jc w:val="both"/>
        <w:rPr>
          <w:rFonts w:ascii="Palatino Linotype" w:eastAsia="Calibri" w:hAnsi="Palatino Linotype" w:cs="Arial"/>
          <w:i/>
          <w:sz w:val="24"/>
          <w:szCs w:val="24"/>
          <w:lang w:val="es-ES_tradnl"/>
        </w:rPr>
      </w:pPr>
      <w:r w:rsidRPr="00786731">
        <w:rPr>
          <w:rFonts w:ascii="Palatino Linotype" w:eastAsia="Calibri" w:hAnsi="Palatino Linotype" w:cs="Arial"/>
          <w:b/>
          <w:i/>
          <w:sz w:val="24"/>
          <w:szCs w:val="24"/>
          <w:lang w:val="es-ES_tradnl"/>
        </w:rPr>
        <w:t>“Artículo 16.</w:t>
      </w:r>
      <w:r w:rsidRPr="00786731">
        <w:rPr>
          <w:rFonts w:ascii="Palatino Linotype" w:eastAsia="Calibri" w:hAnsi="Palatino Linotype" w:cs="Arial"/>
          <w:i/>
          <w:sz w:val="24"/>
          <w:szCs w:val="24"/>
          <w:lang w:val="es-ES_tradnl"/>
        </w:rPr>
        <w:t xml:space="preserve"> Nadie puede ser molestado en su persona, familia, domicilio, papeles o posesiones, </w:t>
      </w:r>
      <w:r w:rsidRPr="00786731">
        <w:rPr>
          <w:rFonts w:ascii="Palatino Linotype" w:eastAsia="Calibri" w:hAnsi="Palatino Linotype" w:cs="Arial"/>
          <w:b/>
          <w:i/>
          <w:sz w:val="24"/>
          <w:szCs w:val="24"/>
          <w:lang w:val="es-ES_tradnl"/>
        </w:rPr>
        <w:t>sino en virtud de mandamiento escrito de la autoridad competente, que funde y motive la causa legal del procedimiento</w:t>
      </w:r>
      <w:r w:rsidRPr="00786731">
        <w:rPr>
          <w:rFonts w:ascii="Palatino Linotype" w:eastAsia="Calibri" w:hAnsi="Palatino Linotype" w:cs="Arial"/>
          <w:i/>
          <w:sz w:val="24"/>
          <w:szCs w:val="24"/>
          <w:lang w:val="es-ES_tradnl"/>
        </w:rPr>
        <w:t>.”</w:t>
      </w:r>
    </w:p>
    <w:p w14:paraId="27EB3B55" w14:textId="77777777" w:rsidR="00786731" w:rsidRPr="00786731" w:rsidRDefault="00786731" w:rsidP="00786731">
      <w:pPr>
        <w:spacing w:after="0" w:line="360" w:lineRule="auto"/>
        <w:contextualSpacing/>
        <w:jc w:val="both"/>
        <w:rPr>
          <w:rFonts w:ascii="Palatino Linotype" w:eastAsia="Calibri" w:hAnsi="Palatino Linotype" w:cs="Arial"/>
          <w:sz w:val="24"/>
          <w:szCs w:val="24"/>
          <w:lang w:val="es-ES_tradnl"/>
        </w:rPr>
      </w:pPr>
    </w:p>
    <w:p w14:paraId="064FE4E7" w14:textId="77777777" w:rsidR="00786731" w:rsidRPr="00786731" w:rsidRDefault="00786731" w:rsidP="00786731">
      <w:pPr>
        <w:numPr>
          <w:ilvl w:val="0"/>
          <w:numId w:val="8"/>
        </w:numPr>
        <w:spacing w:after="0" w:line="360" w:lineRule="auto"/>
        <w:ind w:left="0" w:firstLine="0"/>
        <w:contextualSpacing/>
        <w:jc w:val="both"/>
        <w:rPr>
          <w:rFonts w:ascii="Palatino Linotype" w:eastAsia="Calibri" w:hAnsi="Palatino Linotype" w:cs="Arial"/>
          <w:sz w:val="24"/>
          <w:szCs w:val="24"/>
          <w:lang w:val="es-ES_tradnl"/>
        </w:rPr>
      </w:pPr>
      <w:r w:rsidRPr="00786731">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14:paraId="420D2E29" w14:textId="77777777" w:rsidR="00786731" w:rsidRPr="00786731" w:rsidRDefault="00786731" w:rsidP="00786731">
      <w:pPr>
        <w:spacing w:after="0" w:line="360" w:lineRule="auto"/>
        <w:contextualSpacing/>
        <w:jc w:val="both"/>
        <w:rPr>
          <w:rFonts w:ascii="Palatino Linotype" w:eastAsia="Calibri" w:hAnsi="Palatino Linotype" w:cs="Arial"/>
          <w:sz w:val="24"/>
          <w:szCs w:val="24"/>
          <w:lang w:val="es-ES_tradnl"/>
        </w:rPr>
      </w:pPr>
    </w:p>
    <w:p w14:paraId="0EB0B63C" w14:textId="77777777" w:rsidR="00786731" w:rsidRPr="00786731" w:rsidRDefault="00786731" w:rsidP="00786731">
      <w:pPr>
        <w:numPr>
          <w:ilvl w:val="0"/>
          <w:numId w:val="8"/>
        </w:numPr>
        <w:spacing w:after="0" w:line="360" w:lineRule="auto"/>
        <w:ind w:left="0" w:firstLine="0"/>
        <w:contextualSpacing/>
        <w:jc w:val="both"/>
        <w:rPr>
          <w:rFonts w:ascii="Palatino Linotype" w:eastAsia="Calibri" w:hAnsi="Palatino Linotype" w:cs="Arial"/>
          <w:sz w:val="24"/>
          <w:szCs w:val="24"/>
          <w:lang w:val="es-ES_tradnl"/>
        </w:rPr>
      </w:pPr>
      <w:r w:rsidRPr="00786731">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14:paraId="2C4BDF62" w14:textId="77777777" w:rsidR="00786731" w:rsidRPr="00786731" w:rsidRDefault="00786731" w:rsidP="00786731">
      <w:pPr>
        <w:spacing w:after="0" w:line="360" w:lineRule="auto"/>
        <w:contextualSpacing/>
        <w:jc w:val="both"/>
        <w:rPr>
          <w:rFonts w:ascii="Palatino Linotype" w:eastAsia="Calibri" w:hAnsi="Palatino Linotype" w:cs="Arial"/>
          <w:sz w:val="24"/>
          <w:szCs w:val="24"/>
          <w:lang w:val="es-ES_tradnl"/>
        </w:rPr>
      </w:pPr>
    </w:p>
    <w:p w14:paraId="75C5864B" w14:textId="77777777" w:rsidR="00786731" w:rsidRPr="00786731" w:rsidRDefault="00786731" w:rsidP="00786731">
      <w:pPr>
        <w:numPr>
          <w:ilvl w:val="0"/>
          <w:numId w:val="8"/>
        </w:numPr>
        <w:spacing w:after="0" w:line="360" w:lineRule="auto"/>
        <w:ind w:left="0" w:firstLine="0"/>
        <w:contextualSpacing/>
        <w:jc w:val="both"/>
        <w:rPr>
          <w:rFonts w:ascii="Palatino Linotype" w:eastAsia="Calibri" w:hAnsi="Palatino Linotype" w:cs="Arial"/>
          <w:sz w:val="24"/>
          <w:szCs w:val="24"/>
          <w:lang w:val="es-ES_tradnl"/>
        </w:rPr>
      </w:pPr>
      <w:r w:rsidRPr="00786731">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14:paraId="35BDE754" w14:textId="77777777" w:rsidR="00786731" w:rsidRPr="00786731" w:rsidRDefault="00786731" w:rsidP="00786731">
      <w:pPr>
        <w:spacing w:after="0" w:line="360" w:lineRule="auto"/>
        <w:contextualSpacing/>
        <w:jc w:val="both"/>
        <w:rPr>
          <w:rFonts w:ascii="Palatino Linotype" w:eastAsia="Calibri" w:hAnsi="Palatino Linotype" w:cs="Arial"/>
          <w:sz w:val="24"/>
          <w:szCs w:val="24"/>
          <w:lang w:val="es-ES_tradnl"/>
        </w:rPr>
      </w:pPr>
    </w:p>
    <w:p w14:paraId="51605390" w14:textId="77777777" w:rsidR="00786731" w:rsidRPr="00786731" w:rsidRDefault="00786731" w:rsidP="00786731">
      <w:pPr>
        <w:numPr>
          <w:ilvl w:val="0"/>
          <w:numId w:val="8"/>
        </w:numPr>
        <w:spacing w:after="0" w:line="360" w:lineRule="auto"/>
        <w:ind w:left="0" w:firstLine="0"/>
        <w:contextualSpacing/>
        <w:jc w:val="both"/>
        <w:rPr>
          <w:rFonts w:ascii="Palatino Linotype" w:eastAsia="Calibri" w:hAnsi="Palatino Linotype" w:cs="Arial"/>
          <w:sz w:val="24"/>
          <w:szCs w:val="24"/>
          <w:lang w:val="es-ES_tradnl"/>
        </w:rPr>
      </w:pPr>
      <w:r w:rsidRPr="00786731">
        <w:rPr>
          <w:rFonts w:ascii="Palatino Linotype" w:eastAsia="Calibri" w:hAnsi="Palatino Linotype" w:cs="Arial"/>
          <w:sz w:val="24"/>
          <w:szCs w:val="24"/>
          <w:lang w:val="es-ES_tradnl"/>
        </w:rPr>
        <w:t xml:space="preserve">Han sido vastos los estudios doctrinarios relativos a estos derechos fundamentales y al principio de legalidad en ellos contenidos; como ejemplo, el </w:t>
      </w:r>
      <w:r w:rsidRPr="00786731">
        <w:rPr>
          <w:rFonts w:ascii="Palatino Linotype" w:eastAsia="Calibri" w:hAnsi="Palatino Linotype" w:cs="Arial"/>
          <w:sz w:val="24"/>
          <w:szCs w:val="24"/>
          <w:lang w:val="es-ES_tradnl"/>
        </w:rPr>
        <w:lastRenderedPageBreak/>
        <w:t>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7772912D" w14:textId="77777777" w:rsidR="00786731" w:rsidRPr="00786731" w:rsidRDefault="00786731" w:rsidP="00786731">
      <w:pPr>
        <w:spacing w:after="0" w:line="360" w:lineRule="auto"/>
        <w:contextualSpacing/>
        <w:jc w:val="both"/>
        <w:rPr>
          <w:rFonts w:ascii="Palatino Linotype" w:eastAsia="Calibri" w:hAnsi="Palatino Linotype" w:cs="Arial"/>
          <w:i/>
          <w:sz w:val="24"/>
          <w:szCs w:val="24"/>
          <w:lang w:val="es-ES_tradnl"/>
        </w:rPr>
      </w:pPr>
    </w:p>
    <w:p w14:paraId="013871B3" w14:textId="77777777" w:rsidR="00786731" w:rsidRPr="00786731" w:rsidRDefault="00786731" w:rsidP="00786731">
      <w:pPr>
        <w:numPr>
          <w:ilvl w:val="0"/>
          <w:numId w:val="8"/>
        </w:numPr>
        <w:spacing w:after="0" w:line="360" w:lineRule="auto"/>
        <w:ind w:left="0" w:firstLine="0"/>
        <w:contextualSpacing/>
        <w:jc w:val="both"/>
        <w:rPr>
          <w:rFonts w:ascii="Palatino Linotype" w:eastAsia="Calibri" w:hAnsi="Palatino Linotype" w:cs="Arial"/>
          <w:sz w:val="24"/>
          <w:szCs w:val="24"/>
          <w:lang w:val="es-ES_tradnl"/>
        </w:rPr>
      </w:pPr>
      <w:r w:rsidRPr="00786731">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6D6E875D" w14:textId="77777777" w:rsidR="00786731" w:rsidRPr="00786731" w:rsidRDefault="00786731" w:rsidP="00786731">
      <w:pPr>
        <w:spacing w:after="0" w:line="360" w:lineRule="auto"/>
        <w:contextualSpacing/>
        <w:jc w:val="both"/>
        <w:rPr>
          <w:rFonts w:ascii="Palatino Linotype" w:eastAsia="Calibri" w:hAnsi="Palatino Linotype" w:cs="Arial"/>
          <w:sz w:val="24"/>
          <w:szCs w:val="24"/>
          <w:lang w:val="es-ES_tradnl"/>
        </w:rPr>
      </w:pPr>
    </w:p>
    <w:p w14:paraId="444BE27D" w14:textId="77777777" w:rsidR="00786731" w:rsidRPr="00786731" w:rsidRDefault="00786731" w:rsidP="00786731">
      <w:pPr>
        <w:numPr>
          <w:ilvl w:val="0"/>
          <w:numId w:val="8"/>
        </w:numPr>
        <w:spacing w:after="0" w:line="360" w:lineRule="auto"/>
        <w:ind w:left="0" w:firstLine="0"/>
        <w:contextualSpacing/>
        <w:jc w:val="both"/>
        <w:rPr>
          <w:rFonts w:ascii="Palatino Linotype" w:eastAsia="Calibri" w:hAnsi="Palatino Linotype" w:cs="Arial"/>
          <w:sz w:val="24"/>
          <w:szCs w:val="24"/>
          <w:lang w:val="es-ES_tradnl"/>
        </w:rPr>
      </w:pPr>
      <w:r w:rsidRPr="00786731">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2E3CA369" w14:textId="77777777" w:rsidR="00786731" w:rsidRPr="00786731" w:rsidRDefault="00786731" w:rsidP="00786731">
      <w:pPr>
        <w:spacing w:after="0" w:line="360" w:lineRule="auto"/>
        <w:contextualSpacing/>
        <w:jc w:val="both"/>
        <w:rPr>
          <w:rFonts w:ascii="Palatino Linotype" w:eastAsia="Calibri" w:hAnsi="Palatino Linotype" w:cs="Arial"/>
          <w:sz w:val="24"/>
          <w:szCs w:val="24"/>
          <w:lang w:val="es-ES_tradnl"/>
        </w:rPr>
      </w:pPr>
    </w:p>
    <w:p w14:paraId="6755D05A" w14:textId="21094D9E" w:rsidR="00786731" w:rsidRPr="00786731" w:rsidRDefault="00786731" w:rsidP="00786731">
      <w:pPr>
        <w:numPr>
          <w:ilvl w:val="0"/>
          <w:numId w:val="8"/>
        </w:numPr>
        <w:spacing w:after="0" w:line="360" w:lineRule="auto"/>
        <w:ind w:left="0" w:firstLine="0"/>
        <w:contextualSpacing/>
        <w:jc w:val="both"/>
        <w:rPr>
          <w:rFonts w:ascii="Palatino Linotype" w:eastAsia="Calibri" w:hAnsi="Palatino Linotype" w:cs="Arial"/>
          <w:sz w:val="24"/>
          <w:szCs w:val="24"/>
        </w:rPr>
      </w:pPr>
      <w:r w:rsidRPr="00786731">
        <w:rPr>
          <w:rFonts w:ascii="Palatino Linotype" w:eastAsia="Calibri" w:hAnsi="Palatino Linotype" w:cs="Arial"/>
          <w:sz w:val="24"/>
          <w:szCs w:val="24"/>
        </w:rPr>
        <w:lastRenderedPageBreak/>
        <w:t xml:space="preserve">Es de mencionar que en caso de que el </w:t>
      </w:r>
      <w:r w:rsidRPr="00786731">
        <w:rPr>
          <w:rFonts w:ascii="Palatino Linotype" w:eastAsia="Calibri" w:hAnsi="Palatino Linotype" w:cs="Arial"/>
          <w:b/>
          <w:sz w:val="24"/>
          <w:szCs w:val="24"/>
        </w:rPr>
        <w:t>SUJETO OBLIGADO</w:t>
      </w:r>
      <w:r w:rsidRPr="00786731">
        <w:rPr>
          <w:rFonts w:ascii="Palatino Linotype" w:eastAsia="Calibri" w:hAnsi="Palatino Linotype" w:cs="Arial"/>
          <w:sz w:val="24"/>
          <w:szCs w:val="24"/>
        </w:rPr>
        <w:t xml:space="preserve">, no contara con la información </w:t>
      </w:r>
      <w:r w:rsidR="00B87109">
        <w:rPr>
          <w:rFonts w:ascii="Palatino Linotype" w:eastAsia="Calibri" w:hAnsi="Palatino Linotype" w:cs="Arial"/>
          <w:sz w:val="24"/>
          <w:szCs w:val="24"/>
        </w:rPr>
        <w:t>solicitada debió</w:t>
      </w:r>
      <w:r w:rsidRPr="00786731">
        <w:rPr>
          <w:rFonts w:ascii="Palatino Linotype" w:eastAsia="Calibri" w:hAnsi="Palatino Linotype" w:cs="Arial"/>
          <w:sz w:val="24"/>
          <w:szCs w:val="24"/>
        </w:rPr>
        <w:t xml:space="preserve"> demostrarlo de manera fundada y motivada, de acuerdo al artículo 20 de la Ley de la materia, el cual establece que:</w:t>
      </w:r>
    </w:p>
    <w:p w14:paraId="62270B66" w14:textId="77777777" w:rsidR="00786731" w:rsidRPr="00786731" w:rsidRDefault="00786731" w:rsidP="00786731">
      <w:pPr>
        <w:spacing w:after="0" w:line="360" w:lineRule="auto"/>
        <w:contextualSpacing/>
        <w:jc w:val="both"/>
        <w:rPr>
          <w:rFonts w:ascii="Palatino Linotype" w:eastAsia="Calibri" w:hAnsi="Palatino Linotype" w:cs="Arial"/>
          <w:bCs/>
          <w:i/>
          <w:sz w:val="24"/>
          <w:szCs w:val="24"/>
        </w:rPr>
      </w:pPr>
    </w:p>
    <w:p w14:paraId="0EED27D1" w14:textId="77777777" w:rsidR="00786731" w:rsidRPr="00786731" w:rsidRDefault="00786731" w:rsidP="00786731">
      <w:pPr>
        <w:spacing w:after="0" w:line="360" w:lineRule="auto"/>
        <w:ind w:left="567" w:right="616"/>
        <w:contextualSpacing/>
        <w:jc w:val="both"/>
        <w:rPr>
          <w:rFonts w:ascii="Palatino Linotype" w:eastAsia="Calibri" w:hAnsi="Palatino Linotype" w:cs="Arial"/>
          <w:i/>
          <w:sz w:val="24"/>
          <w:szCs w:val="24"/>
        </w:rPr>
      </w:pPr>
      <w:r w:rsidRPr="00786731">
        <w:rPr>
          <w:rFonts w:ascii="Palatino Linotype" w:eastAsia="Calibri" w:hAnsi="Palatino Linotype" w:cs="Arial"/>
          <w:bCs/>
          <w:i/>
          <w:sz w:val="24"/>
          <w:szCs w:val="24"/>
        </w:rPr>
        <w:t xml:space="preserve">Artículo 20. </w:t>
      </w:r>
      <w:r w:rsidRPr="00786731">
        <w:rPr>
          <w:rFonts w:ascii="Palatino Linotype" w:eastAsia="Calibri" w:hAnsi="Palatino Linotype" w:cs="Arial"/>
          <w:i/>
          <w:sz w:val="24"/>
          <w:szCs w:val="24"/>
        </w:rPr>
        <w:t>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w:t>
      </w:r>
    </w:p>
    <w:p w14:paraId="3B1D35A6" w14:textId="77777777" w:rsidR="00786731" w:rsidRPr="00786731" w:rsidRDefault="00786731" w:rsidP="00786731">
      <w:pPr>
        <w:spacing w:after="0" w:line="360" w:lineRule="auto"/>
        <w:contextualSpacing/>
        <w:jc w:val="both"/>
        <w:rPr>
          <w:rFonts w:ascii="Palatino Linotype" w:eastAsia="Calibri" w:hAnsi="Palatino Linotype" w:cs="Arial"/>
          <w:sz w:val="24"/>
          <w:szCs w:val="24"/>
        </w:rPr>
      </w:pPr>
    </w:p>
    <w:p w14:paraId="6A9FE809" w14:textId="77777777" w:rsidR="00786731" w:rsidRPr="00786731" w:rsidRDefault="00786731" w:rsidP="00786731">
      <w:pPr>
        <w:numPr>
          <w:ilvl w:val="0"/>
          <w:numId w:val="8"/>
        </w:numPr>
        <w:spacing w:after="0" w:line="360" w:lineRule="auto"/>
        <w:ind w:left="0" w:firstLine="0"/>
        <w:contextualSpacing/>
        <w:jc w:val="both"/>
        <w:rPr>
          <w:rFonts w:ascii="Palatino Linotype" w:eastAsia="Calibri" w:hAnsi="Palatino Linotype" w:cs="Arial"/>
          <w:sz w:val="24"/>
          <w:szCs w:val="24"/>
        </w:rPr>
      </w:pPr>
      <w:r w:rsidRPr="00786731">
        <w:rPr>
          <w:rFonts w:ascii="Palatino Linotype" w:eastAsia="Calibri" w:hAnsi="Palatino Linotype" w:cs="Arial"/>
          <w:sz w:val="24"/>
          <w:szCs w:val="24"/>
        </w:rPr>
        <w:t>Sirve de sustento el siguiente criterio del Segundo Tribunal Colegiado del Sexto Circuito.</w:t>
      </w:r>
    </w:p>
    <w:p w14:paraId="13958D18" w14:textId="77777777" w:rsidR="00786731" w:rsidRPr="00786731" w:rsidRDefault="00786731" w:rsidP="00786731">
      <w:pPr>
        <w:spacing w:after="0" w:line="360" w:lineRule="auto"/>
        <w:contextualSpacing/>
        <w:jc w:val="both"/>
        <w:rPr>
          <w:rFonts w:ascii="Palatino Linotype" w:eastAsia="Calibri" w:hAnsi="Palatino Linotype" w:cs="Arial"/>
          <w:sz w:val="24"/>
          <w:szCs w:val="24"/>
        </w:rPr>
      </w:pPr>
    </w:p>
    <w:p w14:paraId="6B5293CE" w14:textId="77777777" w:rsidR="00786731" w:rsidRPr="00786731" w:rsidRDefault="00786731" w:rsidP="003879AF">
      <w:pPr>
        <w:spacing w:after="0" w:line="360" w:lineRule="auto"/>
        <w:ind w:left="567" w:right="616"/>
        <w:contextualSpacing/>
        <w:jc w:val="both"/>
        <w:rPr>
          <w:rFonts w:ascii="Palatino Linotype" w:eastAsia="Calibri" w:hAnsi="Palatino Linotype" w:cs="Arial"/>
          <w:i/>
          <w:sz w:val="24"/>
          <w:szCs w:val="24"/>
        </w:rPr>
      </w:pPr>
      <w:r w:rsidRPr="00786731">
        <w:rPr>
          <w:rFonts w:ascii="Palatino Linotype" w:eastAsia="Calibri" w:hAnsi="Palatino Linotype" w:cs="Arial"/>
          <w:b/>
          <w:i/>
          <w:sz w:val="24"/>
          <w:szCs w:val="24"/>
        </w:rPr>
        <w:t>FUNDAMENTACION Y MOTIVACION DE LOS ACTOS ADMINISTRATIVOS</w:t>
      </w:r>
      <w:r w:rsidRPr="00786731">
        <w:rPr>
          <w:rFonts w:ascii="Palatino Linotype" w:eastAsia="Calibri" w:hAnsi="Palatino Linotype" w:cs="Arial"/>
          <w:i/>
          <w:sz w:val="24"/>
          <w:szCs w:val="24"/>
        </w:rPr>
        <w:t xml:space="preserve">. De acuerdo con el artículo 16 constitucional, todo acto de autoridad debe estar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w:t>
      </w:r>
      <w:r w:rsidRPr="00786731">
        <w:rPr>
          <w:rFonts w:ascii="Palatino Linotype" w:eastAsia="Calibri" w:hAnsi="Palatino Linotype" w:cs="Arial"/>
          <w:i/>
          <w:sz w:val="24"/>
          <w:szCs w:val="24"/>
        </w:rPr>
        <w:lastRenderedPageBreak/>
        <w:t>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subincisos, fracciones y preceptos aplicables, y b).- Los cuerpos legales, y preceptos que otorgan competencia o facultades a las autoridades para emitir el acto en agravio del gobernado.</w:t>
      </w:r>
    </w:p>
    <w:p w14:paraId="59FD279E" w14:textId="77777777" w:rsidR="00786731" w:rsidRPr="00786731" w:rsidRDefault="00786731" w:rsidP="00786731">
      <w:pPr>
        <w:spacing w:after="0" w:line="360" w:lineRule="auto"/>
        <w:contextualSpacing/>
        <w:jc w:val="both"/>
        <w:rPr>
          <w:rFonts w:ascii="Palatino Linotype" w:eastAsia="Calibri" w:hAnsi="Palatino Linotype" w:cs="Arial"/>
          <w:sz w:val="24"/>
          <w:szCs w:val="24"/>
        </w:rPr>
      </w:pPr>
    </w:p>
    <w:p w14:paraId="5FE5B3E2" w14:textId="04D867F1" w:rsidR="00786731" w:rsidRPr="00786731" w:rsidRDefault="00786731" w:rsidP="003879AF">
      <w:pPr>
        <w:numPr>
          <w:ilvl w:val="0"/>
          <w:numId w:val="8"/>
        </w:numPr>
        <w:spacing w:after="0" w:line="360" w:lineRule="auto"/>
        <w:ind w:left="0" w:firstLine="0"/>
        <w:contextualSpacing/>
        <w:jc w:val="both"/>
        <w:rPr>
          <w:rFonts w:ascii="Palatino Linotype" w:eastAsia="Calibri" w:hAnsi="Palatino Linotype" w:cs="Arial"/>
          <w:sz w:val="24"/>
          <w:szCs w:val="24"/>
        </w:rPr>
      </w:pPr>
      <w:r w:rsidRPr="00786731">
        <w:rPr>
          <w:rFonts w:ascii="Palatino Linotype" w:eastAsia="Calibri" w:hAnsi="Palatino Linotype" w:cs="Arial"/>
          <w:sz w:val="24"/>
          <w:szCs w:val="24"/>
        </w:rPr>
        <w:t>Por lo anteriormente expuesto, se concluye que para los casos en que la información que el particular solicitó sea inexistente de acuerdo con el artículo 20 de la Ley, la autoridad debe informar al particular especificando los elementos que le permitan tener la seguridad de que</w:t>
      </w:r>
      <w:r w:rsidR="00B87109">
        <w:rPr>
          <w:rFonts w:ascii="Palatino Linotype" w:eastAsia="Calibri" w:hAnsi="Palatino Linotype" w:cs="Arial"/>
          <w:sz w:val="24"/>
          <w:szCs w:val="24"/>
        </w:rPr>
        <w:t xml:space="preserve"> la información no está en posesión de los </w:t>
      </w:r>
      <w:r w:rsidR="00B87109">
        <w:rPr>
          <w:rFonts w:ascii="Palatino Linotype" w:eastAsia="Calibri" w:hAnsi="Palatino Linotype" w:cs="Arial"/>
          <w:b/>
          <w:sz w:val="24"/>
          <w:szCs w:val="24"/>
        </w:rPr>
        <w:t>Sujetos Obligados</w:t>
      </w:r>
      <w:r w:rsidR="00B87109">
        <w:rPr>
          <w:rFonts w:ascii="Palatino Linotype" w:eastAsia="Calibri" w:hAnsi="Palatino Linotype" w:cs="Arial"/>
          <w:sz w:val="24"/>
          <w:szCs w:val="24"/>
        </w:rPr>
        <w:t xml:space="preserve">, </w:t>
      </w:r>
      <w:r w:rsidRPr="00786731">
        <w:rPr>
          <w:rFonts w:ascii="Palatino Linotype" w:eastAsia="Calibri" w:hAnsi="Palatino Linotype" w:cs="Arial"/>
          <w:sz w:val="24"/>
          <w:szCs w:val="24"/>
        </w:rPr>
        <w:t>de manera que la autoridad no puede únicamente informar al solicitante sobre la inexistencia de determinada información, sino que debe hacerse todo lo necesario para satisfacer el derecho reclamado por el particular.</w:t>
      </w:r>
    </w:p>
    <w:p w14:paraId="0A32DCFE" w14:textId="77777777" w:rsidR="00786731" w:rsidRPr="00786731" w:rsidRDefault="00786731" w:rsidP="00786731">
      <w:pPr>
        <w:spacing w:after="0" w:line="360" w:lineRule="auto"/>
        <w:contextualSpacing/>
        <w:jc w:val="both"/>
        <w:rPr>
          <w:rFonts w:ascii="Palatino Linotype" w:eastAsia="Calibri" w:hAnsi="Palatino Linotype" w:cs="Arial"/>
          <w:sz w:val="24"/>
          <w:szCs w:val="24"/>
        </w:rPr>
      </w:pPr>
    </w:p>
    <w:p w14:paraId="04F2D709" w14:textId="3BA795EB" w:rsidR="00BD04EC" w:rsidRDefault="00786731" w:rsidP="003879AF">
      <w:pPr>
        <w:numPr>
          <w:ilvl w:val="0"/>
          <w:numId w:val="8"/>
        </w:numPr>
        <w:spacing w:after="0" w:line="360" w:lineRule="auto"/>
        <w:ind w:left="0" w:firstLine="0"/>
        <w:contextualSpacing/>
        <w:jc w:val="both"/>
        <w:rPr>
          <w:rFonts w:ascii="Palatino Linotype" w:eastAsia="Calibri" w:hAnsi="Palatino Linotype" w:cs="Arial"/>
          <w:sz w:val="24"/>
          <w:szCs w:val="24"/>
        </w:rPr>
      </w:pPr>
      <w:r w:rsidRPr="00786731">
        <w:rPr>
          <w:rFonts w:ascii="Palatino Linotype" w:eastAsia="Calibri" w:hAnsi="Palatino Linotype" w:cs="Arial"/>
          <w:sz w:val="24"/>
          <w:szCs w:val="24"/>
        </w:rPr>
        <w:lastRenderedPageBreak/>
        <w:t>Tal circunstancia no puede tener como resultado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r w:rsidR="003879AF">
        <w:rPr>
          <w:rFonts w:ascii="Palatino Linotype" w:eastAsia="Calibri" w:hAnsi="Palatino Linotype" w:cs="Arial"/>
          <w:sz w:val="24"/>
          <w:szCs w:val="24"/>
        </w:rPr>
        <w:t xml:space="preserve"> </w:t>
      </w:r>
    </w:p>
    <w:p w14:paraId="1F47DF23" w14:textId="77777777" w:rsidR="00B87109" w:rsidRDefault="00B87109" w:rsidP="00B87109">
      <w:pPr>
        <w:pStyle w:val="Prrafodelista"/>
        <w:rPr>
          <w:rFonts w:ascii="Palatino Linotype" w:eastAsia="Calibri" w:hAnsi="Palatino Linotype" w:cs="Arial"/>
          <w:sz w:val="24"/>
          <w:szCs w:val="24"/>
        </w:rPr>
      </w:pPr>
    </w:p>
    <w:p w14:paraId="33B8C0FE" w14:textId="2F42AE3A" w:rsidR="00B87109" w:rsidRPr="00B87109" w:rsidRDefault="00B87109" w:rsidP="00B87109">
      <w:pPr>
        <w:pStyle w:val="Ttulo1"/>
        <w:numPr>
          <w:ilvl w:val="0"/>
          <w:numId w:val="15"/>
        </w:numPr>
        <w:ind w:left="0" w:firstLine="0"/>
        <w:rPr>
          <w:rFonts w:ascii="Palatino Linotype" w:eastAsia="Calibri" w:hAnsi="Palatino Linotype"/>
          <w:b/>
          <w:color w:val="000000" w:themeColor="text1"/>
          <w:sz w:val="24"/>
          <w:szCs w:val="24"/>
        </w:rPr>
      </w:pPr>
      <w:bookmarkStart w:id="4" w:name="_Toc11691184"/>
      <w:r w:rsidRPr="00B87109">
        <w:rPr>
          <w:rFonts w:ascii="Palatino Linotype" w:eastAsia="Calibri" w:hAnsi="Palatino Linotype"/>
          <w:b/>
          <w:color w:val="000000" w:themeColor="text1"/>
          <w:sz w:val="24"/>
          <w:szCs w:val="24"/>
        </w:rPr>
        <w:t>Conclusión.</w:t>
      </w:r>
      <w:bookmarkEnd w:id="4"/>
    </w:p>
    <w:p w14:paraId="3536A102" w14:textId="77777777" w:rsidR="000B70A6" w:rsidRPr="003879AF" w:rsidRDefault="000B70A6" w:rsidP="000B70A6">
      <w:pPr>
        <w:rPr>
          <w:b/>
        </w:rPr>
      </w:pPr>
    </w:p>
    <w:p w14:paraId="56DA27FB" w14:textId="77777777" w:rsidR="003879AF" w:rsidRPr="003879AF" w:rsidRDefault="003879AF" w:rsidP="003879AF">
      <w:pPr>
        <w:numPr>
          <w:ilvl w:val="0"/>
          <w:numId w:val="8"/>
        </w:numPr>
        <w:spacing w:line="360" w:lineRule="auto"/>
        <w:ind w:left="0" w:firstLine="0"/>
        <w:contextualSpacing/>
        <w:jc w:val="both"/>
        <w:rPr>
          <w:rFonts w:ascii="Palatino Linotype" w:eastAsia="Calibri" w:hAnsi="Palatino Linotype" w:cs="Arial"/>
          <w:sz w:val="24"/>
          <w:szCs w:val="24"/>
        </w:rPr>
      </w:pPr>
      <w:r w:rsidRPr="003879AF">
        <w:rPr>
          <w:rFonts w:ascii="Palatino Linotype" w:eastAsia="Calibri" w:hAnsi="Palatino Linotype" w:cs="Arial"/>
          <w:sz w:val="24"/>
          <w:szCs w:val="24"/>
        </w:rPr>
        <w:t xml:space="preserve">Por lo mencionado anteriormente, considero, que es de suma importancia que tanto este </w:t>
      </w:r>
      <w:r w:rsidRPr="003879AF">
        <w:rPr>
          <w:rFonts w:ascii="Palatino Linotype" w:eastAsia="Calibri" w:hAnsi="Palatino Linotype" w:cs="Arial"/>
          <w:b/>
          <w:sz w:val="24"/>
          <w:szCs w:val="24"/>
        </w:rPr>
        <w:t xml:space="preserve">Órgano Garante </w:t>
      </w:r>
      <w:r w:rsidRPr="003879AF">
        <w:rPr>
          <w:rFonts w:ascii="Palatino Linotype" w:eastAsia="Calibri" w:hAnsi="Palatino Linotype" w:cs="Arial"/>
          <w:sz w:val="24"/>
          <w:szCs w:val="24"/>
        </w:rPr>
        <w:t xml:space="preserve">como los </w:t>
      </w:r>
      <w:r w:rsidRPr="003879AF">
        <w:rPr>
          <w:rFonts w:ascii="Palatino Linotype" w:eastAsia="Calibri" w:hAnsi="Palatino Linotype" w:cs="Arial"/>
          <w:b/>
          <w:sz w:val="24"/>
          <w:szCs w:val="24"/>
        </w:rPr>
        <w:t>Sujetos Obligados</w:t>
      </w:r>
      <w:r w:rsidRPr="003879AF">
        <w:rPr>
          <w:rFonts w:ascii="Palatino Linotype" w:eastAsia="Calibri" w:hAnsi="Palatino Linotype" w:cs="Arial"/>
          <w:sz w:val="24"/>
          <w:szCs w:val="24"/>
        </w:rPr>
        <w:t xml:space="preserve">, adviertan la alta responsabilidad que implica el recurrir al simple pronunciamiento respecto de la posesión de la información solicitada por los particulares, a efecto de no vulnerar el derecho constitucional y convencionalmente reconocido de acceder a la información pública. </w:t>
      </w:r>
    </w:p>
    <w:p w14:paraId="6A1165EC" w14:textId="77777777" w:rsidR="00D80EE0" w:rsidRDefault="00D80EE0" w:rsidP="003879AF">
      <w:pPr>
        <w:spacing w:line="360" w:lineRule="auto"/>
        <w:jc w:val="both"/>
        <w:rPr>
          <w:rFonts w:ascii="Palatino Linotype" w:hAnsi="Palatino Linotype"/>
        </w:rPr>
      </w:pPr>
    </w:p>
    <w:p w14:paraId="09C4746E" w14:textId="77777777" w:rsidR="00400DFC" w:rsidRPr="003879AF" w:rsidRDefault="00400DFC" w:rsidP="003879AF">
      <w:pPr>
        <w:spacing w:line="360" w:lineRule="auto"/>
        <w:jc w:val="both"/>
        <w:rPr>
          <w:rFonts w:ascii="Palatino Linotype" w:hAnsi="Palatino Linotype"/>
        </w:rPr>
      </w:pPr>
    </w:p>
    <w:p w14:paraId="11B4733C" w14:textId="77777777" w:rsidR="00BD04EC" w:rsidRDefault="00BD04EC" w:rsidP="00D80EE0">
      <w:pPr>
        <w:pStyle w:val="Prrafodelista"/>
        <w:spacing w:after="0" w:line="240" w:lineRule="auto"/>
        <w:ind w:left="360"/>
        <w:jc w:val="both"/>
        <w:rPr>
          <w:rFonts w:ascii="Palatino Linotype" w:hAnsi="Palatino Linotype"/>
        </w:rPr>
      </w:pPr>
    </w:p>
    <w:p w14:paraId="4FED56D0" w14:textId="77777777" w:rsidR="00400DFC" w:rsidRDefault="000D5AEA" w:rsidP="00D80EE0">
      <w:pPr>
        <w:spacing w:after="0" w:line="240" w:lineRule="auto"/>
        <w:jc w:val="center"/>
        <w:rPr>
          <w:rFonts w:ascii="Palatino Linotype" w:eastAsia="Calibri" w:hAnsi="Palatino Linotype" w:cs="Arial"/>
          <w:b/>
          <w:sz w:val="24"/>
          <w:szCs w:val="24"/>
        </w:rPr>
      </w:pPr>
      <w:r w:rsidRPr="00B177BA">
        <w:rPr>
          <w:rFonts w:ascii="Palatino Linotype" w:eastAsia="Calibri" w:hAnsi="Palatino Linotype" w:cs="Arial"/>
          <w:b/>
          <w:sz w:val="24"/>
          <w:szCs w:val="24"/>
        </w:rPr>
        <w:t>JOSÉ GUADALUPE LUNA HERNÁNDEZ</w:t>
      </w:r>
    </w:p>
    <w:p w14:paraId="278ECE01" w14:textId="77777777" w:rsidR="00400DFC" w:rsidRDefault="00400DFC" w:rsidP="00D80EE0">
      <w:pPr>
        <w:spacing w:after="0" w:line="240" w:lineRule="auto"/>
        <w:jc w:val="center"/>
        <w:rPr>
          <w:rFonts w:ascii="Palatino Linotype" w:eastAsia="Calibri" w:hAnsi="Palatino Linotype" w:cs="Arial"/>
          <w:b/>
          <w:sz w:val="24"/>
          <w:szCs w:val="24"/>
        </w:rPr>
      </w:pPr>
    </w:p>
    <w:p w14:paraId="27A0D4C0" w14:textId="5F28493F" w:rsidR="00B87109" w:rsidRDefault="000D5AEA" w:rsidP="00D80EE0">
      <w:pPr>
        <w:spacing w:after="0" w:line="240" w:lineRule="auto"/>
        <w:jc w:val="center"/>
        <w:rPr>
          <w:rFonts w:ascii="Palatino Linotype" w:eastAsia="Calibri" w:hAnsi="Palatino Linotype" w:cs="Arial"/>
          <w:b/>
          <w:sz w:val="24"/>
          <w:szCs w:val="24"/>
        </w:rPr>
      </w:pPr>
      <w:r w:rsidRPr="00B177BA">
        <w:rPr>
          <w:rFonts w:ascii="Palatino Linotype" w:eastAsia="Calibri" w:hAnsi="Palatino Linotype" w:cs="Arial"/>
          <w:b/>
          <w:sz w:val="24"/>
          <w:szCs w:val="24"/>
        </w:rPr>
        <w:t>COMISIONADO</w:t>
      </w:r>
    </w:p>
    <w:p w14:paraId="27CCE166" w14:textId="77777777" w:rsidR="00B87109" w:rsidRDefault="00B87109" w:rsidP="00D80EE0">
      <w:pPr>
        <w:spacing w:after="0" w:line="240" w:lineRule="auto"/>
        <w:jc w:val="center"/>
        <w:rPr>
          <w:rFonts w:ascii="Palatino Linotype" w:eastAsia="Calibri" w:hAnsi="Palatino Linotype" w:cs="Arial"/>
          <w:b/>
          <w:sz w:val="24"/>
          <w:szCs w:val="24"/>
        </w:rPr>
      </w:pPr>
    </w:p>
    <w:p w14:paraId="2C1096BA" w14:textId="77777777" w:rsidR="00D80EE0" w:rsidRDefault="00D80EE0" w:rsidP="000B70A6">
      <w:pPr>
        <w:spacing w:line="360" w:lineRule="auto"/>
        <w:rPr>
          <w:rFonts w:ascii="Palatino Linotype" w:eastAsia="Calibri" w:hAnsi="Palatino Linotype" w:cs="Times New Roman"/>
          <w:b/>
          <w:sz w:val="24"/>
        </w:rPr>
      </w:pPr>
    </w:p>
    <w:p w14:paraId="30F68C80" w14:textId="29CD48BC" w:rsidR="00797A31" w:rsidRPr="00B177BA" w:rsidRDefault="003879AF" w:rsidP="000B70A6">
      <w:pPr>
        <w:spacing w:line="360" w:lineRule="auto"/>
        <w:rPr>
          <w:rFonts w:ascii="Palatino Linotype" w:hAnsi="Palatino Linotype"/>
          <w:b/>
          <w:sz w:val="24"/>
        </w:rPr>
      </w:pPr>
      <w:r>
        <w:rPr>
          <w:rFonts w:ascii="Palatino Linotype" w:eastAsia="Calibri" w:hAnsi="Palatino Linotype" w:cs="Times New Roman"/>
          <w:b/>
          <w:sz w:val="24"/>
        </w:rPr>
        <w:t xml:space="preserve">JGLH/MPBR </w:t>
      </w:r>
    </w:p>
    <w:sectPr w:rsidR="00797A31" w:rsidRPr="00B177BA" w:rsidSect="00BB488C">
      <w:headerReference w:type="even" r:id="rId11"/>
      <w:headerReference w:type="default" r:id="rId12"/>
      <w:footerReference w:type="default" r:id="rId13"/>
      <w:headerReference w:type="first" r:id="rId14"/>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A9549D" w14:textId="77777777" w:rsidR="000F2213" w:rsidRDefault="000F2213" w:rsidP="00E82D3D">
      <w:pPr>
        <w:spacing w:after="0" w:line="240" w:lineRule="auto"/>
      </w:pPr>
      <w:r>
        <w:separator/>
      </w:r>
    </w:p>
  </w:endnote>
  <w:endnote w:type="continuationSeparator" w:id="0">
    <w:p w14:paraId="4E8DD7B1" w14:textId="77777777" w:rsidR="000F2213" w:rsidRDefault="000F2213"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14:paraId="4579BC0C" w14:textId="77777777" w:rsidR="00BB488C" w:rsidRDefault="00BB488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73B3C">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73B3C">
              <w:rPr>
                <w:b/>
                <w:bCs/>
                <w:noProof/>
              </w:rPr>
              <w:t>15</w:t>
            </w:r>
            <w:r>
              <w:rPr>
                <w:b/>
                <w:bCs/>
                <w:sz w:val="24"/>
                <w:szCs w:val="24"/>
              </w:rPr>
              <w:fldChar w:fldCharType="end"/>
            </w:r>
          </w:p>
        </w:sdtContent>
      </w:sdt>
    </w:sdtContent>
  </w:sdt>
  <w:p w14:paraId="6A2FF3D8" w14:textId="77777777" w:rsidR="00BB488C" w:rsidRDefault="00BB488C"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503572" w14:textId="77777777" w:rsidR="000F2213" w:rsidRDefault="000F2213" w:rsidP="00E82D3D">
      <w:pPr>
        <w:spacing w:after="0" w:line="240" w:lineRule="auto"/>
      </w:pPr>
      <w:r>
        <w:separator/>
      </w:r>
    </w:p>
  </w:footnote>
  <w:footnote w:type="continuationSeparator" w:id="0">
    <w:p w14:paraId="6F1196AD" w14:textId="77777777" w:rsidR="000F2213" w:rsidRDefault="000F2213" w:rsidP="00E82D3D">
      <w:pPr>
        <w:spacing w:after="0" w:line="240" w:lineRule="auto"/>
      </w:pPr>
      <w:r>
        <w:continuationSeparator/>
      </w:r>
    </w:p>
  </w:footnote>
  <w:footnote w:id="1">
    <w:p w14:paraId="03E3644C" w14:textId="77777777" w:rsidR="00A86A18" w:rsidRPr="00D45A90" w:rsidRDefault="00A86A18" w:rsidP="002024A0">
      <w:pPr>
        <w:pStyle w:val="Textonotapie"/>
        <w:jc w:val="both"/>
        <w:rPr>
          <w:lang w:val="es-ES"/>
        </w:rPr>
      </w:pPr>
      <w:r>
        <w:rPr>
          <w:rStyle w:val="Refdenotaalpie"/>
        </w:rPr>
        <w:footnoteRef/>
      </w:r>
      <w:r>
        <w:t xml:space="preserve"> </w:t>
      </w:r>
      <w:r w:rsidRPr="002024A0">
        <w:rPr>
          <w:rFonts w:cs="Arial"/>
        </w:rPr>
        <w:t>CIDH. El derecho de acceso a la información en el marco jurídico interamericano. 2009. Párr. 172. Disponible en http://www.oas.org/es/cidh/expresion/docs/publicaciones/ACCESO%20A%20LA%20INFORMACION%20FINAL%20CON%20PORTADA.pdf</w:t>
      </w:r>
    </w:p>
  </w:footnote>
  <w:footnote w:id="2">
    <w:p w14:paraId="7C02E630" w14:textId="6E3C2DA9" w:rsidR="0045548B" w:rsidRDefault="0045548B" w:rsidP="002024A0">
      <w:pPr>
        <w:pStyle w:val="Textonotapie"/>
        <w:jc w:val="both"/>
      </w:pPr>
      <w:r>
        <w:rPr>
          <w:rStyle w:val="Refdenotaalpie"/>
        </w:rPr>
        <w:footnoteRef/>
      </w:r>
      <w:r>
        <w:t xml:space="preserve"> Ley de Transparencia y Acceso a la Información Pública del Estado de México. Artículo 9. El Instituto deberá regir su funcionamiento de acuerdo a los siguientes principios:</w:t>
      </w:r>
    </w:p>
    <w:p w14:paraId="5EEABC06" w14:textId="0035B848" w:rsidR="0045548B" w:rsidRDefault="0045548B" w:rsidP="002024A0">
      <w:pPr>
        <w:pStyle w:val="Textonotapie"/>
        <w:jc w:val="both"/>
      </w:pPr>
      <w:r>
        <w:t>I</w:t>
      </w:r>
      <w:r w:rsidRPr="002024A0">
        <w:rPr>
          <w:b/>
        </w:rPr>
        <w:t>. Certeza:</w:t>
      </w:r>
      <w:r>
        <w:t xml:space="preserve"> Principio que otorga seguridad y certidumbre jurídica a los particulares, en virtud de que permite conocer si las acciones del instituto son apegadas a derecho y garantiza  que los procedimientos sean completamente verificables, fidedignos y confiables;</w:t>
      </w:r>
    </w:p>
    <w:p w14:paraId="631037B3" w14:textId="58A19DBA" w:rsidR="0045548B" w:rsidRDefault="0045548B" w:rsidP="002024A0">
      <w:pPr>
        <w:pStyle w:val="Textonotapie"/>
        <w:jc w:val="both"/>
      </w:pP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6E18B7" w14:textId="77777777" w:rsidR="00BB488C" w:rsidRDefault="000F2213">
    <w:pPr>
      <w:pStyle w:val="Encabezado"/>
    </w:pPr>
    <w:r>
      <w:rPr>
        <w:noProof/>
      </w:rPr>
      <w:pict w14:anchorId="2C1062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31D03" w14:textId="77777777" w:rsidR="00BB488C" w:rsidRDefault="000F2213">
    <w:pPr>
      <w:pStyle w:val="Encabezado"/>
    </w:pPr>
    <w:r>
      <w:rPr>
        <w:noProof/>
      </w:rPr>
      <w:pict w14:anchorId="0B92A2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14:paraId="67DCAA8B" w14:textId="77777777" w:rsidR="00BB488C" w:rsidRDefault="00BB488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637783" w14:textId="77777777" w:rsidR="00BB488C" w:rsidRDefault="000F2213">
    <w:pPr>
      <w:pStyle w:val="Encabezado"/>
    </w:pPr>
    <w:r>
      <w:rPr>
        <w:noProof/>
      </w:rPr>
      <w:pict w14:anchorId="1375A4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 w15:restartNumberingAfterBreak="0">
    <w:nsid w:val="0D1502B3"/>
    <w:multiLevelType w:val="multilevel"/>
    <w:tmpl w:val="95C08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21218D"/>
    <w:multiLevelType w:val="hybridMultilevel"/>
    <w:tmpl w:val="14647F20"/>
    <w:lvl w:ilvl="0" w:tplc="95509DBE">
      <w:start w:val="1"/>
      <w:numFmt w:val="upperRoman"/>
      <w:lvlText w:val="%1."/>
      <w:lvlJc w:val="left"/>
      <w:pPr>
        <w:ind w:left="1347" w:hanging="720"/>
      </w:pPr>
      <w:rPr>
        <w:rFonts w:hint="default"/>
      </w:rPr>
    </w:lvl>
    <w:lvl w:ilvl="1" w:tplc="080A0019" w:tentative="1">
      <w:start w:val="1"/>
      <w:numFmt w:val="lowerLetter"/>
      <w:lvlText w:val="%2."/>
      <w:lvlJc w:val="left"/>
      <w:pPr>
        <w:ind w:left="1707" w:hanging="360"/>
      </w:pPr>
    </w:lvl>
    <w:lvl w:ilvl="2" w:tplc="080A001B" w:tentative="1">
      <w:start w:val="1"/>
      <w:numFmt w:val="lowerRoman"/>
      <w:lvlText w:val="%3."/>
      <w:lvlJc w:val="right"/>
      <w:pPr>
        <w:ind w:left="2427" w:hanging="180"/>
      </w:pPr>
    </w:lvl>
    <w:lvl w:ilvl="3" w:tplc="080A000F" w:tentative="1">
      <w:start w:val="1"/>
      <w:numFmt w:val="decimal"/>
      <w:lvlText w:val="%4."/>
      <w:lvlJc w:val="left"/>
      <w:pPr>
        <w:ind w:left="3147" w:hanging="360"/>
      </w:pPr>
    </w:lvl>
    <w:lvl w:ilvl="4" w:tplc="080A0019" w:tentative="1">
      <w:start w:val="1"/>
      <w:numFmt w:val="lowerLetter"/>
      <w:lvlText w:val="%5."/>
      <w:lvlJc w:val="left"/>
      <w:pPr>
        <w:ind w:left="3867" w:hanging="360"/>
      </w:pPr>
    </w:lvl>
    <w:lvl w:ilvl="5" w:tplc="080A001B" w:tentative="1">
      <w:start w:val="1"/>
      <w:numFmt w:val="lowerRoman"/>
      <w:lvlText w:val="%6."/>
      <w:lvlJc w:val="right"/>
      <w:pPr>
        <w:ind w:left="4587" w:hanging="180"/>
      </w:pPr>
    </w:lvl>
    <w:lvl w:ilvl="6" w:tplc="080A000F" w:tentative="1">
      <w:start w:val="1"/>
      <w:numFmt w:val="decimal"/>
      <w:lvlText w:val="%7."/>
      <w:lvlJc w:val="left"/>
      <w:pPr>
        <w:ind w:left="5307" w:hanging="360"/>
      </w:pPr>
    </w:lvl>
    <w:lvl w:ilvl="7" w:tplc="080A0019" w:tentative="1">
      <w:start w:val="1"/>
      <w:numFmt w:val="lowerLetter"/>
      <w:lvlText w:val="%8."/>
      <w:lvlJc w:val="left"/>
      <w:pPr>
        <w:ind w:left="6027" w:hanging="360"/>
      </w:pPr>
    </w:lvl>
    <w:lvl w:ilvl="8" w:tplc="080A001B" w:tentative="1">
      <w:start w:val="1"/>
      <w:numFmt w:val="lowerRoman"/>
      <w:lvlText w:val="%9."/>
      <w:lvlJc w:val="right"/>
      <w:pPr>
        <w:ind w:left="6747" w:hanging="180"/>
      </w:pPr>
    </w:lvl>
  </w:abstractNum>
  <w:abstractNum w:abstractNumId="3" w15:restartNumberingAfterBreak="0">
    <w:nsid w:val="288536C8"/>
    <w:multiLevelType w:val="hybridMultilevel"/>
    <w:tmpl w:val="90EEA5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9E6167F"/>
    <w:multiLevelType w:val="hybridMultilevel"/>
    <w:tmpl w:val="1A1CF8EC"/>
    <w:lvl w:ilvl="0" w:tplc="51C8FE0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2965851"/>
    <w:multiLevelType w:val="hybridMultilevel"/>
    <w:tmpl w:val="CEC02A1E"/>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 w15:restartNumberingAfterBreak="0">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E346C9F"/>
    <w:multiLevelType w:val="hybridMultilevel"/>
    <w:tmpl w:val="0D0004A8"/>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0" w15:restartNumberingAfterBreak="0">
    <w:nsid w:val="4E513B41"/>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36E79C8"/>
    <w:multiLevelType w:val="hybridMultilevel"/>
    <w:tmpl w:val="29A620C4"/>
    <w:lvl w:ilvl="0" w:tplc="7EFE7F1A">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54A3428"/>
    <w:multiLevelType w:val="hybridMultilevel"/>
    <w:tmpl w:val="E2ACA212"/>
    <w:lvl w:ilvl="0" w:tplc="30C43C30">
      <w:start w:val="4"/>
      <w:numFmt w:val="upperRoman"/>
      <w:lvlText w:val="%1."/>
      <w:lvlJc w:val="left"/>
      <w:pPr>
        <w:ind w:left="1080" w:hanging="720"/>
      </w:pPr>
      <w:rPr>
        <w:rFonts w:ascii="Palatino Linotype" w:eastAsiaTheme="majorEastAsia" w:hAnsi="Palatino Linotype" w:cstheme="majorBidi"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6BF227A"/>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77202FA"/>
    <w:multiLevelType w:val="hybridMultilevel"/>
    <w:tmpl w:val="4B380CA8"/>
    <w:lvl w:ilvl="0" w:tplc="FE360A36">
      <w:start w:val="1"/>
      <w:numFmt w:val="decimal"/>
      <w:lvlText w:val="%1."/>
      <w:lvlJc w:val="left"/>
      <w:pPr>
        <w:ind w:left="360" w:hanging="360"/>
      </w:pPr>
      <w:rPr>
        <w:rFonts w:eastAsia="Times New Roman" w:hint="default"/>
        <w:b/>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3225E66"/>
    <w:multiLevelType w:val="hybridMultilevel"/>
    <w:tmpl w:val="4E22EA5E"/>
    <w:lvl w:ilvl="0" w:tplc="30CC87F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65529E6"/>
    <w:multiLevelType w:val="hybridMultilevel"/>
    <w:tmpl w:val="85C09A10"/>
    <w:lvl w:ilvl="0" w:tplc="83DCF0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80F448C"/>
    <w:multiLevelType w:val="hybridMultilevel"/>
    <w:tmpl w:val="92007F68"/>
    <w:lvl w:ilvl="0" w:tplc="04EAC5B6">
      <w:start w:val="1"/>
      <w:numFmt w:val="lowerLetter"/>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84C66A7"/>
    <w:multiLevelType w:val="hybridMultilevel"/>
    <w:tmpl w:val="1A1CF8EC"/>
    <w:lvl w:ilvl="0" w:tplc="51C8FE0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E62758E"/>
    <w:multiLevelType w:val="hybridMultilevel"/>
    <w:tmpl w:val="973074AC"/>
    <w:lvl w:ilvl="0" w:tplc="545A67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E771BE5"/>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9E934E6"/>
    <w:multiLevelType w:val="hybridMultilevel"/>
    <w:tmpl w:val="10FE3B0A"/>
    <w:lvl w:ilvl="0" w:tplc="080A0017">
      <w:start w:val="1"/>
      <w:numFmt w:val="lowerLetter"/>
      <w:lvlText w:val="%1)"/>
      <w:lvlJc w:val="left"/>
      <w:pPr>
        <w:ind w:left="786" w:hanging="360"/>
      </w:pPr>
      <w:rPr>
        <w:rFont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5"/>
  </w:num>
  <w:num w:numId="2">
    <w:abstractNumId w:val="8"/>
  </w:num>
  <w:num w:numId="3">
    <w:abstractNumId w:val="12"/>
  </w:num>
  <w:num w:numId="4">
    <w:abstractNumId w:val="18"/>
  </w:num>
  <w:num w:numId="5">
    <w:abstractNumId w:val="17"/>
  </w:num>
  <w:num w:numId="6">
    <w:abstractNumId w:val="3"/>
  </w:num>
  <w:num w:numId="7">
    <w:abstractNumId w:val="23"/>
  </w:num>
  <w:num w:numId="8">
    <w:abstractNumId w:val="14"/>
  </w:num>
  <w:num w:numId="9">
    <w:abstractNumId w:val="22"/>
  </w:num>
  <w:num w:numId="10">
    <w:abstractNumId w:val="7"/>
  </w:num>
  <w:num w:numId="11">
    <w:abstractNumId w:val="20"/>
  </w:num>
  <w:num w:numId="12">
    <w:abstractNumId w:val="2"/>
  </w:num>
  <w:num w:numId="13">
    <w:abstractNumId w:val="16"/>
  </w:num>
  <w:num w:numId="14">
    <w:abstractNumId w:val="11"/>
  </w:num>
  <w:num w:numId="15">
    <w:abstractNumId w:val="15"/>
  </w:num>
  <w:num w:numId="16">
    <w:abstractNumId w:val="9"/>
  </w:num>
  <w:num w:numId="17">
    <w:abstractNumId w:val="10"/>
  </w:num>
  <w:num w:numId="18">
    <w:abstractNumId w:val="19"/>
  </w:num>
  <w:num w:numId="19">
    <w:abstractNumId w:val="4"/>
  </w:num>
  <w:num w:numId="20">
    <w:abstractNumId w:val="21"/>
  </w:num>
  <w:num w:numId="21">
    <w:abstractNumId w:val="13"/>
  </w:num>
  <w:num w:numId="22">
    <w:abstractNumId w:val="6"/>
  </w:num>
  <w:num w:numId="23">
    <w:abstractNumId w:val="1"/>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143E4"/>
    <w:rsid w:val="00014859"/>
    <w:rsid w:val="00022833"/>
    <w:rsid w:val="00026EA3"/>
    <w:rsid w:val="00030941"/>
    <w:rsid w:val="00042521"/>
    <w:rsid w:val="00065B49"/>
    <w:rsid w:val="00073647"/>
    <w:rsid w:val="00096CC2"/>
    <w:rsid w:val="000B1F1B"/>
    <w:rsid w:val="000B2BC8"/>
    <w:rsid w:val="000B70A6"/>
    <w:rsid w:val="000D5AEA"/>
    <w:rsid w:val="000F2213"/>
    <w:rsid w:val="00102360"/>
    <w:rsid w:val="00102A9E"/>
    <w:rsid w:val="001240A5"/>
    <w:rsid w:val="001249A0"/>
    <w:rsid w:val="001344DF"/>
    <w:rsid w:val="00136B94"/>
    <w:rsid w:val="0014534B"/>
    <w:rsid w:val="001460F2"/>
    <w:rsid w:val="001469D6"/>
    <w:rsid w:val="0016274D"/>
    <w:rsid w:val="001744A9"/>
    <w:rsid w:val="00197150"/>
    <w:rsid w:val="001B19B4"/>
    <w:rsid w:val="001B2A38"/>
    <w:rsid w:val="001C2F6F"/>
    <w:rsid w:val="001C7729"/>
    <w:rsid w:val="001E26F7"/>
    <w:rsid w:val="001E7FE3"/>
    <w:rsid w:val="002024A0"/>
    <w:rsid w:val="00215D07"/>
    <w:rsid w:val="00252F83"/>
    <w:rsid w:val="002647A0"/>
    <w:rsid w:val="00284CCD"/>
    <w:rsid w:val="0029292D"/>
    <w:rsid w:val="002C53A2"/>
    <w:rsid w:val="002E3ED2"/>
    <w:rsid w:val="002E66F1"/>
    <w:rsid w:val="002F1B5C"/>
    <w:rsid w:val="002F79FF"/>
    <w:rsid w:val="00307158"/>
    <w:rsid w:val="00315A31"/>
    <w:rsid w:val="00320119"/>
    <w:rsid w:val="003258B6"/>
    <w:rsid w:val="003417F4"/>
    <w:rsid w:val="0037684A"/>
    <w:rsid w:val="003778BB"/>
    <w:rsid w:val="00377955"/>
    <w:rsid w:val="00384DBA"/>
    <w:rsid w:val="003879AF"/>
    <w:rsid w:val="00391ECE"/>
    <w:rsid w:val="003931FC"/>
    <w:rsid w:val="003A213C"/>
    <w:rsid w:val="003B1283"/>
    <w:rsid w:val="003B2521"/>
    <w:rsid w:val="003F3846"/>
    <w:rsid w:val="00400DFC"/>
    <w:rsid w:val="00411624"/>
    <w:rsid w:val="004137A7"/>
    <w:rsid w:val="0045548B"/>
    <w:rsid w:val="004631D3"/>
    <w:rsid w:val="00474F28"/>
    <w:rsid w:val="004761FC"/>
    <w:rsid w:val="00476C76"/>
    <w:rsid w:val="0048628E"/>
    <w:rsid w:val="00492B35"/>
    <w:rsid w:val="004B0239"/>
    <w:rsid w:val="005034FD"/>
    <w:rsid w:val="005425BB"/>
    <w:rsid w:val="00554F5A"/>
    <w:rsid w:val="005556CA"/>
    <w:rsid w:val="005663B7"/>
    <w:rsid w:val="00573B3C"/>
    <w:rsid w:val="005A5F7F"/>
    <w:rsid w:val="005F30BC"/>
    <w:rsid w:val="005F3F95"/>
    <w:rsid w:val="00617ACF"/>
    <w:rsid w:val="006257F0"/>
    <w:rsid w:val="006577B9"/>
    <w:rsid w:val="006630C5"/>
    <w:rsid w:val="00663DED"/>
    <w:rsid w:val="00670035"/>
    <w:rsid w:val="006B547A"/>
    <w:rsid w:val="006E122A"/>
    <w:rsid w:val="006F0A01"/>
    <w:rsid w:val="006F7748"/>
    <w:rsid w:val="00707317"/>
    <w:rsid w:val="00733E65"/>
    <w:rsid w:val="00755DAF"/>
    <w:rsid w:val="00765058"/>
    <w:rsid w:val="007768A2"/>
    <w:rsid w:val="00786731"/>
    <w:rsid w:val="00797A31"/>
    <w:rsid w:val="007A6D08"/>
    <w:rsid w:val="007D037D"/>
    <w:rsid w:val="008039E7"/>
    <w:rsid w:val="00807E40"/>
    <w:rsid w:val="0081409D"/>
    <w:rsid w:val="008A1719"/>
    <w:rsid w:val="008A3C0D"/>
    <w:rsid w:val="008C2121"/>
    <w:rsid w:val="008F0ED1"/>
    <w:rsid w:val="00905472"/>
    <w:rsid w:val="009141EC"/>
    <w:rsid w:val="00924296"/>
    <w:rsid w:val="009423FF"/>
    <w:rsid w:val="00961B02"/>
    <w:rsid w:val="009701CA"/>
    <w:rsid w:val="00970949"/>
    <w:rsid w:val="009A2D39"/>
    <w:rsid w:val="009A3791"/>
    <w:rsid w:val="009B0061"/>
    <w:rsid w:val="009C0251"/>
    <w:rsid w:val="009C31DD"/>
    <w:rsid w:val="009C382C"/>
    <w:rsid w:val="00A50F3D"/>
    <w:rsid w:val="00A5520B"/>
    <w:rsid w:val="00A61EE4"/>
    <w:rsid w:val="00A640C7"/>
    <w:rsid w:val="00A664DD"/>
    <w:rsid w:val="00A74CF4"/>
    <w:rsid w:val="00A86A18"/>
    <w:rsid w:val="00A94603"/>
    <w:rsid w:val="00AF787F"/>
    <w:rsid w:val="00AF7F27"/>
    <w:rsid w:val="00B06C27"/>
    <w:rsid w:val="00B177BA"/>
    <w:rsid w:val="00B418D3"/>
    <w:rsid w:val="00B44BEB"/>
    <w:rsid w:val="00B7183A"/>
    <w:rsid w:val="00B84FF9"/>
    <w:rsid w:val="00B87109"/>
    <w:rsid w:val="00B9285A"/>
    <w:rsid w:val="00B97597"/>
    <w:rsid w:val="00BB488C"/>
    <w:rsid w:val="00BD04EC"/>
    <w:rsid w:val="00C14607"/>
    <w:rsid w:val="00C3434E"/>
    <w:rsid w:val="00C71CD0"/>
    <w:rsid w:val="00C753D8"/>
    <w:rsid w:val="00C76751"/>
    <w:rsid w:val="00C94672"/>
    <w:rsid w:val="00CA2B8E"/>
    <w:rsid w:val="00CB73E4"/>
    <w:rsid w:val="00CC18E7"/>
    <w:rsid w:val="00CC4094"/>
    <w:rsid w:val="00CC7CC1"/>
    <w:rsid w:val="00CF0462"/>
    <w:rsid w:val="00CF69A6"/>
    <w:rsid w:val="00D03587"/>
    <w:rsid w:val="00D14193"/>
    <w:rsid w:val="00D3600C"/>
    <w:rsid w:val="00D456C3"/>
    <w:rsid w:val="00D5058C"/>
    <w:rsid w:val="00D70E0E"/>
    <w:rsid w:val="00D80EE0"/>
    <w:rsid w:val="00DA431A"/>
    <w:rsid w:val="00DD14BB"/>
    <w:rsid w:val="00DD20E5"/>
    <w:rsid w:val="00DE7A32"/>
    <w:rsid w:val="00DF72AC"/>
    <w:rsid w:val="00E05358"/>
    <w:rsid w:val="00E06302"/>
    <w:rsid w:val="00E220D0"/>
    <w:rsid w:val="00E235A7"/>
    <w:rsid w:val="00E23B87"/>
    <w:rsid w:val="00E265CF"/>
    <w:rsid w:val="00E82D3D"/>
    <w:rsid w:val="00E9629C"/>
    <w:rsid w:val="00EA7DB1"/>
    <w:rsid w:val="00ED5CE8"/>
    <w:rsid w:val="00F1435E"/>
    <w:rsid w:val="00F20A24"/>
    <w:rsid w:val="00F30EE8"/>
    <w:rsid w:val="00F34777"/>
    <w:rsid w:val="00F354D8"/>
    <w:rsid w:val="00F474D0"/>
    <w:rsid w:val="00F76CBB"/>
    <w:rsid w:val="00F76CD7"/>
    <w:rsid w:val="00F82E38"/>
    <w:rsid w:val="00FB6532"/>
    <w:rsid w:val="00FB7111"/>
    <w:rsid w:val="00FC605B"/>
    <w:rsid w:val="00FF3F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67FCC4"/>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5AEA"/>
  </w:style>
  <w:style w:type="paragraph" w:styleId="Ttulo1">
    <w:name w:val="heading 1"/>
    <w:basedOn w:val="Normal"/>
    <w:next w:val="Normal"/>
    <w:link w:val="Ttulo1Car"/>
    <w:uiPriority w:val="9"/>
    <w:qFormat/>
    <w:rsid w:val="00DE7A3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basedOn w:val="Normal"/>
    <w:link w:val="PrrafodelistaCar"/>
    <w:uiPriority w:val="72"/>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DE7A32"/>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link w:val="Prrafodelista"/>
    <w:uiPriority w:val="72"/>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DE7A32"/>
    <w:pPr>
      <w:spacing w:after="100"/>
    </w:p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styleId="TDC2">
    <w:name w:val="toc 2"/>
    <w:basedOn w:val="Normal"/>
    <w:next w:val="Normal"/>
    <w:autoRedefine/>
    <w:uiPriority w:val="39"/>
    <w:unhideWhenUsed/>
    <w:rsid w:val="009C382C"/>
    <w:pPr>
      <w:spacing w:after="100"/>
      <w:ind w:left="220"/>
    </w:pPr>
  </w:style>
  <w:style w:type="paragraph" w:styleId="TDC3">
    <w:name w:val="toc 3"/>
    <w:basedOn w:val="Normal"/>
    <w:next w:val="Normal"/>
    <w:autoRedefine/>
    <w:uiPriority w:val="39"/>
    <w:unhideWhenUsed/>
    <w:rsid w:val="009C382C"/>
    <w:pPr>
      <w:spacing w:after="100"/>
      <w:ind w:left="440"/>
    </w:pPr>
  </w:style>
  <w:style w:type="character" w:styleId="Refdecomentario">
    <w:name w:val="annotation reference"/>
    <w:basedOn w:val="Fuentedeprrafopredeter"/>
    <w:uiPriority w:val="99"/>
    <w:semiHidden/>
    <w:unhideWhenUsed/>
    <w:rsid w:val="00A5520B"/>
    <w:rPr>
      <w:sz w:val="18"/>
      <w:szCs w:val="18"/>
    </w:rPr>
  </w:style>
  <w:style w:type="paragraph" w:styleId="Textocomentario">
    <w:name w:val="annotation text"/>
    <w:basedOn w:val="Normal"/>
    <w:link w:val="TextocomentarioCar"/>
    <w:uiPriority w:val="99"/>
    <w:semiHidden/>
    <w:unhideWhenUsed/>
    <w:rsid w:val="00A5520B"/>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A5520B"/>
    <w:rPr>
      <w:sz w:val="24"/>
      <w:szCs w:val="24"/>
    </w:rPr>
  </w:style>
  <w:style w:type="paragraph" w:styleId="Asuntodelcomentario">
    <w:name w:val="annotation subject"/>
    <w:basedOn w:val="Textocomentario"/>
    <w:next w:val="Textocomentario"/>
    <w:link w:val="AsuntodelcomentarioCar"/>
    <w:uiPriority w:val="99"/>
    <w:semiHidden/>
    <w:unhideWhenUsed/>
    <w:rsid w:val="00A5520B"/>
    <w:rPr>
      <w:b/>
      <w:bCs/>
      <w:sz w:val="20"/>
      <w:szCs w:val="20"/>
    </w:rPr>
  </w:style>
  <w:style w:type="character" w:customStyle="1" w:styleId="AsuntodelcomentarioCar">
    <w:name w:val="Asunto del comentario Car"/>
    <w:basedOn w:val="TextocomentarioCar"/>
    <w:link w:val="Asuntodelcomentario"/>
    <w:uiPriority w:val="99"/>
    <w:semiHidden/>
    <w:rsid w:val="00A5520B"/>
    <w:rPr>
      <w:b/>
      <w:bCs/>
      <w:sz w:val="20"/>
      <w:szCs w:val="20"/>
    </w:rPr>
  </w:style>
  <w:style w:type="paragraph" w:customStyle="1" w:styleId="Default">
    <w:name w:val="Default"/>
    <w:rsid w:val="001469D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4411423">
      <w:bodyDiv w:val="1"/>
      <w:marLeft w:val="0"/>
      <w:marRight w:val="0"/>
      <w:marTop w:val="0"/>
      <w:marBottom w:val="0"/>
      <w:divBdr>
        <w:top w:val="none" w:sz="0" w:space="0" w:color="auto"/>
        <w:left w:val="none" w:sz="0" w:space="0" w:color="auto"/>
        <w:bottom w:val="none" w:sz="0" w:space="0" w:color="auto"/>
        <w:right w:val="none" w:sz="0" w:space="0" w:color="auto"/>
      </w:divBdr>
    </w:div>
    <w:div w:id="165979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668704.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s.wikipedia.org/wiki/Derechos_civiles_y_pol%C3%ADticos"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42CF6-26B8-47AF-B246-419673E22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2914</Words>
  <Characters>16031</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2</cp:revision>
  <cp:lastPrinted>2019-06-18T00:14:00Z</cp:lastPrinted>
  <dcterms:created xsi:type="dcterms:W3CDTF">2019-07-09T18:50:00Z</dcterms:created>
  <dcterms:modified xsi:type="dcterms:W3CDTF">2019-07-09T18:50:00Z</dcterms:modified>
</cp:coreProperties>
</file>